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bookmarkStart w:id="0" w:name="_GoBack"/>
      <w:bookmarkEnd w:id="0"/>
      <w:r w:rsidRPr="00845DF9">
        <w:rPr>
          <w:rFonts w:ascii="Arial" w:eastAsia="Times New Roman" w:hAnsi="Arial" w:cs="Arial"/>
          <w:b/>
          <w:sz w:val="28"/>
          <w:szCs w:val="28"/>
          <w:lang w:val="es-MX" w:eastAsia="es-ES"/>
        </w:rPr>
        <w:t>PROYECTO DE LEY No. ______  DE 2016</w:t>
      </w:r>
    </w:p>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sz w:val="28"/>
          <w:szCs w:val="28"/>
          <w:lang w:val="es-MX" w:eastAsia="es-ES"/>
        </w:rPr>
      </w:pPr>
    </w:p>
    <w:p w:rsid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“POR MEDIO DE LA CUAL SE MODIFICA EL ARTÍCULO 33 LA LEY 1258 DE 2008”</w:t>
      </w:r>
    </w:p>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p>
    <w:p w:rsidR="00845DF9" w:rsidRPr="00845DF9" w:rsidRDefault="00845DF9" w:rsidP="00845DF9">
      <w:pPr>
        <w:spacing w:after="0" w:line="240" w:lineRule="auto"/>
        <w:jc w:val="center"/>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El Congreso de Colombia</w:t>
      </w:r>
    </w:p>
    <w:p w:rsidR="00845DF9" w:rsidRPr="00845DF9" w:rsidRDefault="00845DF9" w:rsidP="00845DF9">
      <w:pPr>
        <w:spacing w:after="0" w:line="240" w:lineRule="auto"/>
        <w:jc w:val="center"/>
        <w:rPr>
          <w:rFonts w:ascii="Arial" w:eastAsia="Times New Roman" w:hAnsi="Arial" w:cs="Arial"/>
          <w:sz w:val="28"/>
          <w:szCs w:val="28"/>
          <w:lang w:val="es-MX" w:eastAsia="es-ES"/>
        </w:rPr>
      </w:pPr>
    </w:p>
    <w:p w:rsidR="00845DF9" w:rsidRPr="00845DF9" w:rsidRDefault="00845DF9" w:rsidP="00845DF9">
      <w:pPr>
        <w:spacing w:after="0" w:line="240" w:lineRule="auto"/>
        <w:jc w:val="center"/>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DECRETA:</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b/>
          <w:sz w:val="28"/>
          <w:szCs w:val="28"/>
          <w:lang w:val="es-MX" w:eastAsia="es-ES"/>
        </w:rPr>
        <w:t xml:space="preserve">Artículo 1. </w:t>
      </w:r>
      <w:r w:rsidRPr="00845DF9">
        <w:rPr>
          <w:rFonts w:ascii="Arial" w:eastAsia="Times New Roman" w:hAnsi="Arial" w:cs="Arial"/>
          <w:sz w:val="28"/>
          <w:szCs w:val="28"/>
          <w:lang w:val="es-MX" w:eastAsia="es-ES"/>
        </w:rPr>
        <w:t xml:space="preserve">Modifíquese el artículo 33 de la Ley 1258 de 2008, el cual quedará así: </w:t>
      </w:r>
    </w:p>
    <w:p w:rsidR="00845DF9" w:rsidRPr="00845DF9" w:rsidRDefault="00845DF9" w:rsidP="00845DF9">
      <w:pPr>
        <w:spacing w:before="100" w:beforeAutospacing="1" w:after="100" w:afterAutospacing="1" w:line="360" w:lineRule="auto"/>
        <w:jc w:val="both"/>
        <w:rPr>
          <w:rFonts w:ascii="Arial" w:eastAsia="Times New Roman" w:hAnsi="Arial" w:cs="Arial"/>
          <w:b/>
          <w:color w:val="000000" w:themeColor="text1"/>
          <w:sz w:val="28"/>
          <w:szCs w:val="28"/>
          <w:lang w:eastAsia="es-ES"/>
        </w:rPr>
      </w:pPr>
      <w:r w:rsidRPr="00845DF9">
        <w:rPr>
          <w:rFonts w:ascii="Arial" w:eastAsia="Times New Roman" w:hAnsi="Arial" w:cs="Arial"/>
          <w:b/>
          <w:color w:val="000000" w:themeColor="text1"/>
          <w:sz w:val="28"/>
          <w:szCs w:val="28"/>
          <w:lang w:eastAsia="es-ES"/>
        </w:rPr>
        <w:t xml:space="preserve">ARTÍCULO 33. </w:t>
      </w:r>
    </w:p>
    <w:p w:rsidR="00845DF9" w:rsidRPr="00845DF9" w:rsidRDefault="00845DF9" w:rsidP="00845DF9">
      <w:pPr>
        <w:spacing w:before="100" w:beforeAutospacing="1" w:after="100" w:afterAutospacing="1" w:line="360" w:lineRule="auto"/>
        <w:jc w:val="both"/>
        <w:rPr>
          <w:rFonts w:ascii="Arial" w:eastAsia="Times New Roman" w:hAnsi="Arial" w:cs="Arial"/>
          <w:color w:val="000000" w:themeColor="text1"/>
          <w:sz w:val="28"/>
          <w:szCs w:val="28"/>
          <w:lang w:eastAsia="es-ES"/>
        </w:rPr>
      </w:pPr>
      <w:r w:rsidRPr="00845DF9">
        <w:rPr>
          <w:rFonts w:ascii="Arial" w:eastAsia="Times New Roman" w:hAnsi="Arial" w:cs="Arial"/>
          <w:b/>
          <w:color w:val="000000" w:themeColor="text1"/>
          <w:sz w:val="28"/>
          <w:szCs w:val="28"/>
          <w:lang w:eastAsia="es-ES"/>
        </w:rPr>
        <w:t>FUSI</w:t>
      </w:r>
      <w:r>
        <w:rPr>
          <w:rFonts w:ascii="Arial" w:eastAsia="Times New Roman" w:hAnsi="Arial" w:cs="Arial"/>
          <w:b/>
          <w:color w:val="000000" w:themeColor="text1"/>
          <w:sz w:val="28"/>
          <w:szCs w:val="28"/>
          <w:lang w:eastAsia="es-ES"/>
        </w:rPr>
        <w:t>Ó</w:t>
      </w:r>
      <w:r w:rsidRPr="00845DF9">
        <w:rPr>
          <w:rFonts w:ascii="Arial" w:eastAsia="Times New Roman" w:hAnsi="Arial" w:cs="Arial"/>
          <w:b/>
          <w:color w:val="000000" w:themeColor="text1"/>
          <w:sz w:val="28"/>
          <w:szCs w:val="28"/>
          <w:lang w:eastAsia="es-ES"/>
        </w:rPr>
        <w:t>N ABREVIADA.</w:t>
      </w:r>
      <w:r w:rsidRPr="00845DF9">
        <w:rPr>
          <w:rFonts w:ascii="Arial" w:eastAsia="Times New Roman" w:hAnsi="Arial" w:cs="Arial"/>
          <w:color w:val="000000" w:themeColor="text1"/>
          <w:sz w:val="28"/>
          <w:szCs w:val="28"/>
          <w:lang w:eastAsia="es-ES"/>
        </w:rPr>
        <w:t xml:space="preserve"> En aquellos casos en que una sociedad detente más del noventa (90%) de las acciones de una sociedad por acciones simplificada, aquella podrá absorber a esta, mediante determinación adoptada por las juntas de socios o las asambleas de las sociedades participantes en el proceso de fusión. </w:t>
      </w:r>
    </w:p>
    <w:p w:rsidR="00845DF9" w:rsidRPr="00845DF9" w:rsidRDefault="00845DF9" w:rsidP="00845DF9">
      <w:pPr>
        <w:spacing w:before="100" w:beforeAutospacing="1" w:after="100" w:afterAutospacing="1" w:line="360" w:lineRule="auto"/>
        <w:jc w:val="both"/>
        <w:rPr>
          <w:rFonts w:ascii="Arial" w:eastAsia="Times New Roman" w:hAnsi="Arial" w:cs="Arial"/>
          <w:color w:val="000000" w:themeColor="text1"/>
          <w:sz w:val="28"/>
          <w:szCs w:val="28"/>
          <w:lang w:eastAsia="es-ES"/>
        </w:rPr>
      </w:pPr>
      <w:r w:rsidRPr="00845DF9">
        <w:rPr>
          <w:rFonts w:ascii="Arial" w:eastAsia="Times New Roman" w:hAnsi="Arial" w:cs="Arial"/>
          <w:color w:val="000000" w:themeColor="text1"/>
          <w:sz w:val="28"/>
          <w:szCs w:val="28"/>
          <w:lang w:eastAsia="es-ES"/>
        </w:rPr>
        <w:t xml:space="preserve">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w:t>
      </w:r>
      <w:hyperlink r:id="rId8" w:anchor="1" w:history="1">
        <w:r w:rsidRPr="00845DF9">
          <w:rPr>
            <w:rFonts w:ascii="Arial" w:eastAsia="Times New Roman" w:hAnsi="Arial" w:cs="Arial"/>
            <w:color w:val="000000" w:themeColor="text1"/>
            <w:sz w:val="28"/>
            <w:szCs w:val="28"/>
            <w:u w:val="single"/>
            <w:lang w:eastAsia="es-ES"/>
          </w:rPr>
          <w:t>222</w:t>
        </w:r>
      </w:hyperlink>
      <w:r w:rsidRPr="00845DF9">
        <w:rPr>
          <w:rFonts w:ascii="Arial" w:eastAsia="Times New Roman" w:hAnsi="Arial" w:cs="Arial"/>
          <w:color w:val="000000" w:themeColor="text1"/>
          <w:sz w:val="28"/>
          <w:szCs w:val="28"/>
          <w:lang w:eastAsia="es-ES"/>
        </w:rPr>
        <w:t xml:space="preserve"> de 1995. </w:t>
      </w:r>
    </w:p>
    <w:p w:rsidR="00845DF9" w:rsidRPr="00845DF9" w:rsidRDefault="00845DF9" w:rsidP="00845DF9">
      <w:pPr>
        <w:spacing w:before="100" w:beforeAutospacing="1" w:after="100" w:afterAutospacing="1" w:line="360" w:lineRule="auto"/>
        <w:jc w:val="both"/>
        <w:rPr>
          <w:rFonts w:ascii="Arial" w:eastAsia="Times New Roman" w:hAnsi="Arial" w:cs="Arial"/>
          <w:color w:val="000000" w:themeColor="text1"/>
          <w:sz w:val="28"/>
          <w:szCs w:val="28"/>
          <w:lang w:eastAsia="es-ES"/>
        </w:rPr>
      </w:pPr>
      <w:r w:rsidRPr="00845DF9">
        <w:rPr>
          <w:rFonts w:ascii="Arial" w:eastAsia="Times New Roman" w:hAnsi="Arial" w:cs="Arial"/>
          <w:color w:val="000000" w:themeColor="text1"/>
          <w:sz w:val="28"/>
          <w:szCs w:val="28"/>
          <w:lang w:eastAsia="es-ES"/>
        </w:rPr>
        <w:lastRenderedPageBreak/>
        <w:t xml:space="preserve">Los aspectos esenciales del acuerdo de fusión abreviada tendrán que ser publicados en un diario de amplia circulación según lo establece la Ley </w:t>
      </w:r>
      <w:hyperlink r:id="rId9" w:anchor="1" w:history="1">
        <w:r w:rsidRPr="00845DF9">
          <w:rPr>
            <w:rFonts w:ascii="Arial" w:eastAsia="Times New Roman" w:hAnsi="Arial" w:cs="Arial"/>
            <w:color w:val="000000" w:themeColor="text1"/>
            <w:sz w:val="28"/>
            <w:szCs w:val="28"/>
            <w:u w:val="single"/>
            <w:lang w:eastAsia="es-ES"/>
          </w:rPr>
          <w:t>222</w:t>
        </w:r>
      </w:hyperlink>
      <w:r w:rsidRPr="00845DF9">
        <w:rPr>
          <w:rFonts w:ascii="Arial" w:eastAsia="Times New Roman" w:hAnsi="Arial" w:cs="Arial"/>
          <w:color w:val="000000" w:themeColor="text1"/>
          <w:sz w:val="28"/>
          <w:szCs w:val="28"/>
          <w:lang w:eastAsia="es-ES"/>
        </w:rPr>
        <w:t xml:space="preserve"> de 1995. </w:t>
      </w:r>
    </w:p>
    <w:p w:rsidR="00845DF9" w:rsidRPr="00845DF9" w:rsidRDefault="00845DF9" w:rsidP="00845DF9">
      <w:pPr>
        <w:spacing w:before="100" w:beforeAutospacing="1" w:after="100" w:afterAutospacing="1" w:line="360" w:lineRule="auto"/>
        <w:jc w:val="both"/>
        <w:rPr>
          <w:rFonts w:ascii="Arial" w:eastAsia="Times New Roman" w:hAnsi="Arial" w:cs="Arial"/>
          <w:color w:val="000000" w:themeColor="text1"/>
          <w:sz w:val="28"/>
          <w:szCs w:val="28"/>
          <w:lang w:eastAsia="es-ES"/>
        </w:rPr>
      </w:pPr>
      <w:r w:rsidRPr="00845DF9">
        <w:rPr>
          <w:rFonts w:ascii="Arial" w:eastAsia="Times New Roman" w:hAnsi="Arial" w:cs="Arial"/>
          <w:color w:val="000000" w:themeColor="text1"/>
          <w:sz w:val="28"/>
          <w:szCs w:val="28"/>
          <w:lang w:eastAsia="es-ES"/>
        </w:rPr>
        <w:t xml:space="preserve">Así mismo habrá lugar a la oposición de la fusión abreviada por parte de los acreedores dentro de los 30 días siguientes al perfeccionamiento de la fusión. Si no se otorgasen las garantías suficientes a favor de los acreedores dentro de este término, los accionistas que hayan aprobado la fusión serán solidariamente responsables por el cumplimiento de estas obligaciones. </w:t>
      </w:r>
    </w:p>
    <w:p w:rsidR="00845DF9" w:rsidRPr="00845DF9" w:rsidRDefault="00845DF9" w:rsidP="00845DF9">
      <w:pPr>
        <w:spacing w:before="100" w:beforeAutospacing="1" w:after="100" w:afterAutospacing="1" w:line="360" w:lineRule="auto"/>
        <w:jc w:val="both"/>
        <w:rPr>
          <w:rFonts w:ascii="Arial" w:eastAsia="Times New Roman" w:hAnsi="Arial" w:cs="Arial"/>
          <w:sz w:val="28"/>
          <w:szCs w:val="28"/>
          <w:lang w:eastAsia="es-ES"/>
        </w:rPr>
      </w:pPr>
      <w:r w:rsidRPr="00845DF9">
        <w:rPr>
          <w:rFonts w:ascii="Arial" w:eastAsia="Times New Roman" w:hAnsi="Arial" w:cs="Arial"/>
          <w:b/>
          <w:sz w:val="28"/>
          <w:szCs w:val="28"/>
          <w:lang w:eastAsia="es-ES"/>
        </w:rPr>
        <w:t>PARÁGRAFO.</w:t>
      </w:r>
      <w:r w:rsidRPr="00845DF9">
        <w:rPr>
          <w:rFonts w:ascii="Arial" w:eastAsia="Times New Roman" w:hAnsi="Arial" w:cs="Arial"/>
          <w:sz w:val="28"/>
          <w:szCs w:val="28"/>
          <w:lang w:eastAsia="es-ES"/>
        </w:rPr>
        <w:t xml:space="preserve"> Los aspectos esenciales de la fusión abreviada que describe el presente artículo  son aquellos que establece el artículo 174 del Código de Comercio.  </w:t>
      </w:r>
    </w:p>
    <w:p w:rsidR="00845DF9" w:rsidRPr="00845DF9" w:rsidRDefault="00845DF9" w:rsidP="00845DF9">
      <w:pPr>
        <w:spacing w:after="0" w:line="360" w:lineRule="auto"/>
        <w:jc w:val="both"/>
        <w:rPr>
          <w:rFonts w:ascii="Arial" w:eastAsia="Times New Roman" w:hAnsi="Arial" w:cs="Arial"/>
          <w:sz w:val="28"/>
          <w:szCs w:val="28"/>
          <w:lang w:eastAsia="es-ES"/>
        </w:rPr>
      </w:pPr>
      <w:r w:rsidRPr="00845DF9">
        <w:rPr>
          <w:rFonts w:ascii="Arial" w:eastAsia="Times New Roman" w:hAnsi="Arial" w:cs="Arial"/>
          <w:b/>
          <w:sz w:val="28"/>
          <w:szCs w:val="28"/>
          <w:lang w:eastAsia="es-ES"/>
        </w:rPr>
        <w:t>Artículo 2.</w:t>
      </w:r>
      <w:r w:rsidRPr="00845DF9">
        <w:rPr>
          <w:rFonts w:ascii="Arial" w:eastAsia="Times New Roman" w:hAnsi="Arial" w:cs="Arial"/>
          <w:sz w:val="28"/>
          <w:szCs w:val="28"/>
          <w:lang w:eastAsia="es-ES"/>
        </w:rPr>
        <w:t xml:space="preserve"> La presente ley regirá a partir de su promulgación y deroga todas las disposiciones que le sean contrarias. </w:t>
      </w:r>
    </w:p>
    <w:p w:rsidR="00845DF9" w:rsidRDefault="00845DF9" w:rsidP="00845DF9">
      <w:pPr>
        <w:spacing w:after="0" w:line="240" w:lineRule="auto"/>
        <w:rPr>
          <w:rFonts w:ascii="Arial" w:eastAsia="Times New Roman" w:hAnsi="Arial" w:cs="Arial"/>
          <w:sz w:val="28"/>
          <w:szCs w:val="28"/>
          <w:lang w:eastAsia="es-ES"/>
        </w:rPr>
      </w:pPr>
    </w:p>
    <w:p w:rsidR="00845DF9" w:rsidRPr="00845DF9" w:rsidRDefault="00845DF9" w:rsidP="00845DF9">
      <w:pPr>
        <w:spacing w:after="0" w:line="240" w:lineRule="auto"/>
        <w:rPr>
          <w:rFonts w:ascii="Arial" w:eastAsia="Times New Roman" w:hAnsi="Arial" w:cs="Arial"/>
          <w:sz w:val="28"/>
          <w:szCs w:val="28"/>
          <w:lang w:eastAsia="es-ES"/>
        </w:rPr>
      </w:pPr>
    </w:p>
    <w:p w:rsidR="00845DF9" w:rsidRPr="00845DF9" w:rsidRDefault="00845DF9" w:rsidP="00845DF9">
      <w:pPr>
        <w:spacing w:after="0" w:line="240" w:lineRule="auto"/>
        <w:rPr>
          <w:rFonts w:ascii="Arial" w:eastAsia="Times New Roman" w:hAnsi="Arial" w:cs="Arial"/>
          <w:sz w:val="28"/>
          <w:szCs w:val="28"/>
          <w:lang w:eastAsia="es-ES"/>
        </w:rPr>
      </w:pPr>
    </w:p>
    <w:p w:rsidR="00845DF9" w:rsidRPr="00845DF9" w:rsidRDefault="00845DF9" w:rsidP="00845DF9">
      <w:pPr>
        <w:spacing w:after="0" w:line="360" w:lineRule="auto"/>
        <w:jc w:val="center"/>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DE LOS HONORABLES CONGRESISTAS</w:t>
      </w:r>
      <w:r>
        <w:rPr>
          <w:rFonts w:ascii="Arial" w:eastAsia="Times New Roman" w:hAnsi="Arial" w:cs="Arial"/>
          <w:b/>
          <w:sz w:val="28"/>
          <w:szCs w:val="28"/>
          <w:lang w:val="es-MX" w:eastAsia="es-ES"/>
        </w:rPr>
        <w:t>,</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Default="00845DF9" w:rsidP="00845DF9">
      <w:pPr>
        <w:spacing w:after="0" w:line="360" w:lineRule="auto"/>
        <w:rPr>
          <w:rFonts w:ascii="Arial" w:eastAsia="Times New Roman" w:hAnsi="Arial" w:cs="Arial"/>
          <w:b/>
          <w:sz w:val="28"/>
          <w:szCs w:val="28"/>
          <w:lang w:val="es-MX" w:eastAsia="es-ES"/>
        </w:rPr>
      </w:pPr>
      <w:r>
        <w:rPr>
          <w:rFonts w:ascii="Arial" w:eastAsia="Times New Roman" w:hAnsi="Arial" w:cs="Arial"/>
          <w:b/>
          <w:sz w:val="28"/>
          <w:szCs w:val="28"/>
          <w:lang w:val="es-MX" w:eastAsia="es-ES"/>
        </w:rPr>
        <w:t>AUTORA,</w:t>
      </w:r>
    </w:p>
    <w:p w:rsid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spacing w:after="0" w:line="360" w:lineRule="auto"/>
        <w:rPr>
          <w:rFonts w:ascii="Arial" w:eastAsia="Times New Roman" w:hAnsi="Arial" w:cs="Arial"/>
          <w:b/>
          <w:sz w:val="28"/>
          <w:szCs w:val="28"/>
          <w:lang w:val="es-MX" w:eastAsia="es-ES"/>
        </w:rPr>
      </w:pPr>
    </w:p>
    <w:p w:rsidR="00845DF9" w:rsidRDefault="00845DF9" w:rsidP="00845DF9">
      <w:pPr>
        <w:spacing w:after="0" w:line="360" w:lineRule="auto"/>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 xml:space="preserve">ROSMERY MARTÍNEZ ROSALES </w:t>
      </w:r>
    </w:p>
    <w:p w:rsid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jc w:val="both"/>
        <w:rPr>
          <w:rFonts w:ascii="Arial" w:hAnsi="Arial" w:cs="Arial"/>
          <w:b/>
          <w:color w:val="000000" w:themeColor="text1"/>
        </w:rPr>
      </w:pPr>
    </w:p>
    <w:p w:rsidR="00845DF9" w:rsidRDefault="00845DF9" w:rsidP="00845DF9">
      <w:pPr>
        <w:jc w:val="both"/>
        <w:rPr>
          <w:rFonts w:ascii="Arial" w:hAnsi="Arial" w:cs="Arial"/>
          <w:color w:val="000000" w:themeColor="text1"/>
        </w:rPr>
      </w:pPr>
      <w:r w:rsidRPr="00845DF9">
        <w:rPr>
          <w:rFonts w:ascii="Arial" w:hAnsi="Arial" w:cs="Arial"/>
          <w:b/>
          <w:color w:val="000000" w:themeColor="text1"/>
        </w:rPr>
        <w:t xml:space="preserve"> COAUTOR</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 xml:space="preserve"> _________________________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_________________________                         ___________________________</w:t>
      </w:r>
    </w:p>
    <w:p w:rsidR="00845DF9" w:rsidRP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lastRenderedPageBreak/>
        <w:t>EXPOSICIÓN DE MOTIVOS</w:t>
      </w:r>
    </w:p>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p>
    <w:p w:rsidR="00845DF9" w:rsidRPr="00845DF9" w:rsidRDefault="00845DF9" w:rsidP="00845DF9">
      <w:pPr>
        <w:suppressAutoHyphens/>
        <w:autoSpaceDE w:val="0"/>
        <w:autoSpaceDN w:val="0"/>
        <w:adjustRightInd w:val="0"/>
        <w:spacing w:after="0" w:line="360" w:lineRule="auto"/>
        <w:jc w:val="center"/>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PROYECTO DE LEY No. ______   DE 2016  “Por medio de la cual se modifica el artículo 33 la Ley 1258 de 2008”</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b/>
          <w:sz w:val="28"/>
          <w:szCs w:val="28"/>
          <w:lang w:val="es-MX" w:eastAsia="es-ES"/>
        </w:rPr>
      </w:pPr>
    </w:p>
    <w:p w:rsidR="00845DF9" w:rsidRPr="00845DF9" w:rsidRDefault="00845DF9" w:rsidP="00845DF9">
      <w:pPr>
        <w:numPr>
          <w:ilvl w:val="0"/>
          <w:numId w:val="1"/>
        </w:numPr>
        <w:spacing w:after="0" w:line="360" w:lineRule="auto"/>
        <w:contextualSpacing/>
        <w:jc w:val="both"/>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OBJETO DEL PROYECTO DE LEY</w:t>
      </w:r>
    </w:p>
    <w:p w:rsidR="00845DF9" w:rsidRPr="00845DF9" w:rsidRDefault="00845DF9" w:rsidP="00845DF9">
      <w:pPr>
        <w:spacing w:after="0" w:line="360" w:lineRule="auto"/>
        <w:jc w:val="both"/>
        <w:rPr>
          <w:rFonts w:ascii="Arial" w:eastAsia="Times New Roman" w:hAnsi="Arial" w:cs="Arial"/>
          <w:b/>
          <w:sz w:val="28"/>
          <w:szCs w:val="28"/>
          <w:lang w:val="es-MX" w:eastAsia="es-ES"/>
        </w:rPr>
      </w:pPr>
    </w:p>
    <w:p w:rsidR="00845DF9" w:rsidRPr="00845DF9" w:rsidRDefault="00845DF9" w:rsidP="00845DF9">
      <w:pPr>
        <w:spacing w:after="0" w:line="360" w:lineRule="auto"/>
        <w:jc w:val="both"/>
        <w:rPr>
          <w:rFonts w:ascii="Arial" w:eastAsia="Times New Roman" w:hAnsi="Arial" w:cs="Arial"/>
          <w:b/>
          <w:sz w:val="28"/>
          <w:szCs w:val="28"/>
          <w:lang w:val="es-MX" w:eastAsia="es-ES"/>
        </w:rPr>
      </w:pPr>
      <w:r w:rsidRPr="00845DF9">
        <w:rPr>
          <w:rFonts w:ascii="Arial" w:eastAsia="Times New Roman" w:hAnsi="Arial" w:cs="Arial"/>
          <w:sz w:val="28"/>
          <w:szCs w:val="28"/>
          <w:lang w:val="es-MX" w:eastAsia="es-ES"/>
        </w:rPr>
        <w:t>El proyecto de ley tiene por objeto modificar el artículo 33 de la ley 1258 de 2008 “</w:t>
      </w:r>
      <w:r w:rsidRPr="00845DF9">
        <w:rPr>
          <w:rFonts w:ascii="Arial" w:eastAsia="Times New Roman" w:hAnsi="Arial" w:cs="Arial"/>
          <w:i/>
          <w:sz w:val="28"/>
          <w:szCs w:val="28"/>
          <w:lang w:eastAsia="es-ES"/>
        </w:rPr>
        <w:t>Por medio de la cual se crea la sociedad por acciones simplificada</w:t>
      </w:r>
      <w:r w:rsidRPr="00845DF9">
        <w:rPr>
          <w:rFonts w:ascii="Arial" w:eastAsia="Times New Roman" w:hAnsi="Arial" w:cs="Arial"/>
          <w:sz w:val="28"/>
          <w:szCs w:val="28"/>
          <w:lang w:eastAsia="es-ES"/>
        </w:rPr>
        <w:t xml:space="preserve">”. Lo anterior con el propósito de corregir los errores y clarificar las incertidumbres que presenta la fusión abreviada para las Sociedades por Acciones Simplificadas. </w:t>
      </w:r>
    </w:p>
    <w:p w:rsidR="00845DF9" w:rsidRPr="00845DF9" w:rsidRDefault="00845DF9" w:rsidP="00845DF9">
      <w:pPr>
        <w:spacing w:after="0" w:line="360" w:lineRule="auto"/>
        <w:jc w:val="both"/>
        <w:rPr>
          <w:rFonts w:ascii="Arial" w:eastAsia="Times New Roman" w:hAnsi="Arial" w:cs="Arial"/>
          <w:b/>
          <w:sz w:val="28"/>
          <w:szCs w:val="28"/>
          <w:lang w:val="es-MX" w:eastAsia="es-ES"/>
        </w:rPr>
      </w:pPr>
    </w:p>
    <w:p w:rsidR="00845DF9" w:rsidRPr="00845DF9" w:rsidRDefault="00845DF9" w:rsidP="00845DF9">
      <w:pPr>
        <w:numPr>
          <w:ilvl w:val="0"/>
          <w:numId w:val="1"/>
        </w:numPr>
        <w:tabs>
          <w:tab w:val="left" w:pos="3546"/>
        </w:tabs>
        <w:spacing w:after="0" w:line="360" w:lineRule="auto"/>
        <w:contextualSpacing/>
        <w:jc w:val="both"/>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 xml:space="preserve">ANTECEDENTES JURIDICOS </w:t>
      </w:r>
    </w:p>
    <w:p w:rsidR="00845DF9" w:rsidRPr="00845DF9" w:rsidRDefault="00845DF9" w:rsidP="00845DF9">
      <w:pPr>
        <w:tabs>
          <w:tab w:val="left" w:pos="3546"/>
        </w:tabs>
        <w:spacing w:after="0" w:line="360" w:lineRule="auto"/>
        <w:jc w:val="both"/>
        <w:rPr>
          <w:rFonts w:ascii="Arial" w:eastAsia="Times New Roman" w:hAnsi="Arial" w:cs="Arial"/>
          <w:b/>
          <w:sz w:val="28"/>
          <w:szCs w:val="28"/>
          <w:lang w:val="es-MX" w:eastAsia="es-ES"/>
        </w:rPr>
      </w:pPr>
    </w:p>
    <w:p w:rsidR="00845DF9" w:rsidRPr="00845DF9" w:rsidRDefault="00845DF9" w:rsidP="00845DF9">
      <w:pPr>
        <w:tabs>
          <w:tab w:val="left" w:pos="3546"/>
        </w:tabs>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El objeto de la ley 1258 de 2008 fue la simplificación de las formas asociativas a través de un nuevo tipo societario que hasta la fecha ha tenido gran acogida en el Derecho Continental Europeo y en el Derecho Norteamericano, este nuevo tipo societario denominado Sociedades por Acciones Simplificadas, buscaba agilizar los trámites de constitución, limitar en un alto grado la responsabilidad de los socios,  establecer un objeto social indeterminado, entre otras prerrogativas.  </w:t>
      </w:r>
    </w:p>
    <w:p w:rsidR="00845DF9" w:rsidRPr="00845DF9" w:rsidRDefault="00845DF9" w:rsidP="00845DF9">
      <w:pPr>
        <w:tabs>
          <w:tab w:val="left" w:pos="3546"/>
        </w:tabs>
        <w:spacing w:after="0" w:line="360" w:lineRule="auto"/>
        <w:jc w:val="both"/>
        <w:rPr>
          <w:rFonts w:ascii="Arial" w:eastAsia="Times New Roman" w:hAnsi="Arial" w:cs="Arial"/>
          <w:sz w:val="28"/>
          <w:szCs w:val="28"/>
          <w:lang w:val="es-MX" w:eastAsia="es-ES"/>
        </w:rPr>
      </w:pPr>
    </w:p>
    <w:p w:rsidR="00845DF9" w:rsidRPr="00845DF9" w:rsidRDefault="00845DF9" w:rsidP="00845DF9">
      <w:pPr>
        <w:tabs>
          <w:tab w:val="left" w:pos="3546"/>
        </w:tabs>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Esta nueva forma asociativa tuvo gran éxito también en Colombia, tan es así que para el año 2011, las Sociedades por Acciones Simplificadas constituyeron cerca del 90% del total de las sociedades nuevas matriculadas en las Cámaras de Comercio</w:t>
      </w:r>
      <w:r w:rsidRPr="00845DF9">
        <w:rPr>
          <w:rFonts w:ascii="Arial" w:eastAsia="Times New Roman" w:hAnsi="Arial" w:cs="Arial"/>
          <w:sz w:val="28"/>
          <w:szCs w:val="28"/>
          <w:vertAlign w:val="superscript"/>
          <w:lang w:val="es-MX" w:eastAsia="es-ES"/>
        </w:rPr>
        <w:footnoteReference w:id="1"/>
      </w:r>
      <w:r w:rsidRPr="00845DF9">
        <w:rPr>
          <w:rFonts w:ascii="Arial" w:eastAsia="Times New Roman" w:hAnsi="Arial" w:cs="Arial"/>
          <w:sz w:val="28"/>
          <w:szCs w:val="28"/>
          <w:lang w:val="es-MX" w:eastAsia="es-ES"/>
        </w:rPr>
        <w:t xml:space="preserve">.  </w:t>
      </w:r>
    </w:p>
    <w:p w:rsidR="00845DF9" w:rsidRPr="00845DF9" w:rsidRDefault="00845DF9" w:rsidP="00845DF9">
      <w:pPr>
        <w:tabs>
          <w:tab w:val="left" w:pos="3546"/>
        </w:tabs>
        <w:spacing w:after="0" w:line="360" w:lineRule="auto"/>
        <w:jc w:val="both"/>
        <w:rPr>
          <w:rFonts w:ascii="Arial" w:eastAsia="Times New Roman" w:hAnsi="Arial" w:cs="Arial"/>
          <w:sz w:val="28"/>
          <w:szCs w:val="28"/>
          <w:lang w:val="es-MX" w:eastAsia="es-ES"/>
        </w:rPr>
      </w:pPr>
    </w:p>
    <w:p w:rsidR="00845DF9" w:rsidRPr="00845DF9" w:rsidRDefault="00845DF9" w:rsidP="00845DF9">
      <w:pPr>
        <w:tabs>
          <w:tab w:val="left" w:pos="3546"/>
        </w:tabs>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Lo anterior se justifica porque este tipo societario es mucho más acorde a la realidad de los negocios que otras formas societarias preexistentes mucho más rígidas y hasta mandadas a recoger.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Sin embargo, debido al dinamismo que esta sociedad trae consigo, se desconocen derechos y expectativas de derecho legítimas que </w:t>
      </w:r>
      <w:proofErr w:type="gramStart"/>
      <w:r w:rsidRPr="00845DF9">
        <w:rPr>
          <w:rFonts w:ascii="Arial" w:eastAsia="Times New Roman" w:hAnsi="Arial" w:cs="Arial"/>
          <w:sz w:val="28"/>
          <w:szCs w:val="28"/>
          <w:lang w:val="es-MX" w:eastAsia="es-ES"/>
        </w:rPr>
        <w:t>es</w:t>
      </w:r>
      <w:proofErr w:type="gramEnd"/>
      <w:r w:rsidRPr="00845DF9">
        <w:rPr>
          <w:rFonts w:ascii="Arial" w:eastAsia="Times New Roman" w:hAnsi="Arial" w:cs="Arial"/>
          <w:sz w:val="28"/>
          <w:szCs w:val="28"/>
          <w:lang w:val="es-MX" w:eastAsia="es-ES"/>
        </w:rPr>
        <w:t xml:space="preserve"> necesario corregir a través del presente proyecto de ley, particularmente en lo que a la fusión abreviada se refiere.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numPr>
          <w:ilvl w:val="0"/>
          <w:numId w:val="1"/>
        </w:numPr>
        <w:spacing w:after="0" w:line="360" w:lineRule="auto"/>
        <w:contextualSpacing/>
        <w:jc w:val="both"/>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FUNDAMENTOS CONSTITUCIONALES Y LEGALES</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El presente proyecto de ley desarrolla principios constitucionales inevitablemente relacionados con el universo societario como lo son el artículo 38 de nuestra Carta fundamental que establece el derecho de libre asociación para el desarrollo de actividades que las </w:t>
      </w:r>
      <w:r w:rsidRPr="00845DF9">
        <w:rPr>
          <w:rFonts w:ascii="Arial" w:eastAsia="Times New Roman" w:hAnsi="Arial" w:cs="Arial"/>
          <w:sz w:val="28"/>
          <w:szCs w:val="28"/>
          <w:lang w:val="es-MX" w:eastAsia="es-ES"/>
        </w:rPr>
        <w:lastRenderedPageBreak/>
        <w:t xml:space="preserve">personas realizan en sociedad y el artículo 333, relativo al principio de iniciativa privada y la actividad económica.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b/>
          <w:sz w:val="28"/>
          <w:szCs w:val="28"/>
          <w:lang w:val="es-MX" w:eastAsia="es-ES"/>
        </w:rPr>
      </w:pPr>
      <w:r w:rsidRPr="00845DF9">
        <w:rPr>
          <w:rFonts w:ascii="Arial" w:eastAsia="Times New Roman" w:hAnsi="Arial" w:cs="Arial"/>
          <w:sz w:val="28"/>
          <w:szCs w:val="28"/>
          <w:lang w:val="es-MX" w:eastAsia="es-ES"/>
        </w:rPr>
        <w:t xml:space="preserve">Desde el ámbito legal el proyecto está circunscrito a la ley 1258 de 2008 para armonizar sus disposiciones normativas en lo que a la fusión se refiere con el Código de Comercio, Decreto Ley 410 de 1971. Lo anterior en aras de salvaguardar y garantizar los derechos de los socios que a la luz de la normativa vigente de las Sociedades por Acciones Simplificadas pueden verse </w:t>
      </w:r>
      <w:proofErr w:type="gramStart"/>
      <w:r w:rsidRPr="00845DF9">
        <w:rPr>
          <w:rFonts w:ascii="Arial" w:eastAsia="Times New Roman" w:hAnsi="Arial" w:cs="Arial"/>
          <w:sz w:val="28"/>
          <w:szCs w:val="28"/>
          <w:lang w:val="es-MX" w:eastAsia="es-ES"/>
        </w:rPr>
        <w:t>lesionados</w:t>
      </w:r>
      <w:proofErr w:type="gramEnd"/>
      <w:r w:rsidRPr="00845DF9">
        <w:rPr>
          <w:rFonts w:ascii="Arial" w:eastAsia="Times New Roman" w:hAnsi="Arial" w:cs="Arial"/>
          <w:sz w:val="28"/>
          <w:szCs w:val="28"/>
          <w:lang w:val="es-MX" w:eastAsia="es-ES"/>
        </w:rPr>
        <w:t xml:space="preserve">. </w:t>
      </w:r>
    </w:p>
    <w:p w:rsidR="00845DF9" w:rsidRPr="00845DF9" w:rsidRDefault="00845DF9" w:rsidP="00845DF9">
      <w:pPr>
        <w:spacing w:after="0" w:line="360" w:lineRule="auto"/>
        <w:jc w:val="both"/>
        <w:rPr>
          <w:rFonts w:ascii="Arial" w:eastAsia="Times New Roman" w:hAnsi="Arial" w:cs="Arial"/>
          <w:b/>
          <w:sz w:val="28"/>
          <w:szCs w:val="28"/>
          <w:lang w:val="es-MX" w:eastAsia="es-ES"/>
        </w:rPr>
      </w:pPr>
    </w:p>
    <w:p w:rsidR="00845DF9" w:rsidRPr="00845DF9" w:rsidRDefault="00845DF9" w:rsidP="00845DF9">
      <w:pPr>
        <w:numPr>
          <w:ilvl w:val="0"/>
          <w:numId w:val="1"/>
        </w:numPr>
        <w:spacing w:after="0" w:line="360" w:lineRule="auto"/>
        <w:contextualSpacing/>
        <w:jc w:val="both"/>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 xml:space="preserve">FUNDAMENTOS JURIDICOS.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El proyecto de ley tiene por objeto corregir uno de los desaciertos más grandes de la ley 1258 de 2008 como lo es la figura de la fusión abreviada contemplada en el artículo 33 de la ley precitada.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eastAsia="es-ES"/>
        </w:rPr>
      </w:pPr>
      <w:r w:rsidRPr="00845DF9">
        <w:rPr>
          <w:rFonts w:ascii="Arial" w:eastAsia="Times New Roman" w:hAnsi="Arial" w:cs="Arial"/>
          <w:sz w:val="28"/>
          <w:szCs w:val="28"/>
          <w:lang w:val="es-MX" w:eastAsia="es-ES"/>
        </w:rPr>
        <w:t>La fusión desde un punto de vista genérico según lo reza el artículo 172 del Código de Comercio, es una figura en virtud de la cual, “</w:t>
      </w:r>
      <w:r w:rsidRPr="00845DF9">
        <w:rPr>
          <w:rFonts w:ascii="Arial" w:eastAsia="Times New Roman" w:hAnsi="Arial" w:cs="Arial"/>
          <w:i/>
          <w:sz w:val="28"/>
          <w:szCs w:val="28"/>
          <w:lang w:eastAsia="es-ES"/>
        </w:rPr>
        <w:t>una o más sociedades se disuelvan, sin liquidarse, para ser absorbidas por otra o para crear una nueva</w:t>
      </w:r>
      <w:r w:rsidRPr="00845DF9">
        <w:rPr>
          <w:rFonts w:ascii="Arial" w:eastAsia="Times New Roman" w:hAnsi="Arial" w:cs="Arial"/>
          <w:sz w:val="28"/>
          <w:szCs w:val="28"/>
          <w:lang w:eastAsia="es-ES"/>
        </w:rPr>
        <w:t>”</w:t>
      </w:r>
      <w:r w:rsidRPr="00845DF9">
        <w:rPr>
          <w:rFonts w:ascii="Arial" w:eastAsia="Times New Roman" w:hAnsi="Arial" w:cs="Arial"/>
          <w:sz w:val="28"/>
          <w:szCs w:val="28"/>
          <w:vertAlign w:val="superscript"/>
          <w:lang w:eastAsia="es-ES"/>
        </w:rPr>
        <w:footnoteReference w:id="2"/>
      </w:r>
      <w:r w:rsidRPr="00845DF9">
        <w:rPr>
          <w:rFonts w:ascii="Arial" w:eastAsia="Times New Roman" w:hAnsi="Arial" w:cs="Arial"/>
          <w:sz w:val="28"/>
          <w:szCs w:val="28"/>
          <w:lang w:eastAsia="es-ES"/>
        </w:rPr>
        <w:t xml:space="preserve">. Entonces, como puede vislumbrase de esta definición legal, existen dos clases de fusiones: la fusión por creación y la fusión por absorción. </w:t>
      </w:r>
    </w:p>
    <w:p w:rsidR="00845DF9" w:rsidRPr="00845DF9" w:rsidRDefault="00845DF9" w:rsidP="00845DF9">
      <w:pPr>
        <w:spacing w:after="0" w:line="360" w:lineRule="auto"/>
        <w:jc w:val="both"/>
        <w:rPr>
          <w:rFonts w:ascii="Arial" w:eastAsia="Times New Roman" w:hAnsi="Arial" w:cs="Arial"/>
          <w:sz w:val="28"/>
          <w:szCs w:val="28"/>
          <w:lang w:eastAsia="es-ES"/>
        </w:rPr>
      </w:pPr>
    </w:p>
    <w:p w:rsidR="00845DF9" w:rsidRPr="00845DF9" w:rsidRDefault="00845DF9" w:rsidP="00845DF9">
      <w:pPr>
        <w:spacing w:after="0" w:line="360" w:lineRule="auto"/>
        <w:jc w:val="both"/>
        <w:rPr>
          <w:rFonts w:ascii="Arial" w:eastAsia="Times New Roman" w:hAnsi="Arial" w:cs="Arial"/>
          <w:sz w:val="28"/>
          <w:szCs w:val="28"/>
          <w:lang w:eastAsia="es-ES"/>
        </w:rPr>
      </w:pPr>
      <w:r w:rsidRPr="00845DF9">
        <w:rPr>
          <w:rFonts w:ascii="Arial" w:eastAsia="Times New Roman" w:hAnsi="Arial" w:cs="Arial"/>
          <w:sz w:val="28"/>
          <w:szCs w:val="28"/>
          <w:lang w:eastAsia="es-ES"/>
        </w:rPr>
        <w:lastRenderedPageBreak/>
        <w:t>La fusión por creación como lo indica la Superintendencia de Sociedades, se refiere al escenario en el que “</w:t>
      </w:r>
      <w:r w:rsidRPr="00845DF9">
        <w:rPr>
          <w:rFonts w:ascii="Arial" w:eastAsia="Times New Roman" w:hAnsi="Arial" w:cs="Arial"/>
          <w:i/>
          <w:sz w:val="28"/>
          <w:szCs w:val="28"/>
          <w:lang w:eastAsia="es-ES"/>
        </w:rPr>
        <w:t>dos o más sociedades se disuelven y consolidan su patrimonio en una nueva sociedad que las sucede en forma universal en sus derechos y obligaciones”</w:t>
      </w:r>
      <w:r w:rsidRPr="00845DF9">
        <w:rPr>
          <w:rFonts w:ascii="Arial" w:eastAsia="Times New Roman" w:hAnsi="Arial" w:cs="Arial"/>
          <w:i/>
          <w:sz w:val="28"/>
          <w:szCs w:val="28"/>
          <w:vertAlign w:val="superscript"/>
          <w:lang w:eastAsia="es-ES"/>
        </w:rPr>
        <w:footnoteReference w:id="3"/>
      </w:r>
      <w:r w:rsidRPr="00845DF9">
        <w:rPr>
          <w:rFonts w:ascii="Arial" w:eastAsia="Times New Roman" w:hAnsi="Arial" w:cs="Arial"/>
          <w:sz w:val="28"/>
          <w:szCs w:val="28"/>
          <w:lang w:eastAsia="es-ES"/>
        </w:rPr>
        <w:t>. Por su parte, la fusión por absorción es definida por esta misma entidad como el escenario en el que “</w:t>
      </w:r>
      <w:r w:rsidRPr="00845DF9">
        <w:rPr>
          <w:rFonts w:ascii="Arial" w:eastAsia="Times New Roman" w:hAnsi="Arial" w:cs="Arial"/>
          <w:i/>
          <w:sz w:val="28"/>
          <w:szCs w:val="28"/>
          <w:lang w:eastAsia="es-ES"/>
        </w:rPr>
        <w:t>una o más sociedades incorporan su patrimonio a otra que lo consolida como suyo. En este caso no se disuelve la sociedad absorbente”</w:t>
      </w:r>
      <w:r w:rsidRPr="00845DF9">
        <w:rPr>
          <w:rFonts w:ascii="Arial" w:eastAsia="Times New Roman" w:hAnsi="Arial" w:cs="Arial"/>
          <w:i/>
          <w:sz w:val="28"/>
          <w:szCs w:val="28"/>
          <w:vertAlign w:val="superscript"/>
          <w:lang w:eastAsia="es-ES"/>
        </w:rPr>
        <w:footnoteReference w:id="4"/>
      </w:r>
      <w:r w:rsidRPr="00845DF9">
        <w:rPr>
          <w:rFonts w:ascii="Arial" w:eastAsia="Times New Roman" w:hAnsi="Arial" w:cs="Arial"/>
          <w:i/>
          <w:sz w:val="28"/>
          <w:szCs w:val="28"/>
          <w:lang w:eastAsia="es-ES"/>
        </w:rPr>
        <w:t>.</w:t>
      </w:r>
      <w:r w:rsidRPr="00845DF9">
        <w:rPr>
          <w:rFonts w:ascii="Arial" w:eastAsia="Times New Roman" w:hAnsi="Arial" w:cs="Arial"/>
          <w:sz w:val="28"/>
          <w:szCs w:val="28"/>
          <w:lang w:eastAsia="es-ES"/>
        </w:rPr>
        <w:t xml:space="preserve"> </w:t>
      </w:r>
    </w:p>
    <w:p w:rsidR="00845DF9" w:rsidRPr="00845DF9" w:rsidRDefault="00845DF9" w:rsidP="00845DF9">
      <w:pPr>
        <w:spacing w:after="0" w:line="360" w:lineRule="auto"/>
        <w:jc w:val="both"/>
        <w:rPr>
          <w:rFonts w:ascii="Arial" w:eastAsia="Times New Roman" w:hAnsi="Arial" w:cs="Arial"/>
          <w:sz w:val="28"/>
          <w:szCs w:val="28"/>
          <w:lang w:eastAsia="es-ES"/>
        </w:rPr>
      </w:pPr>
    </w:p>
    <w:p w:rsidR="00845DF9" w:rsidRPr="00845DF9" w:rsidRDefault="00845DF9" w:rsidP="00845DF9">
      <w:pPr>
        <w:spacing w:after="0" w:line="360" w:lineRule="auto"/>
        <w:jc w:val="both"/>
        <w:rPr>
          <w:rFonts w:ascii="Arial" w:eastAsia="Times New Roman" w:hAnsi="Arial" w:cs="Arial"/>
          <w:sz w:val="28"/>
          <w:szCs w:val="28"/>
          <w:lang w:eastAsia="es-ES"/>
        </w:rPr>
      </w:pPr>
      <w:r w:rsidRPr="00845DF9">
        <w:rPr>
          <w:rFonts w:ascii="Arial" w:eastAsia="Times New Roman" w:hAnsi="Arial" w:cs="Arial"/>
          <w:sz w:val="28"/>
          <w:szCs w:val="28"/>
          <w:lang w:eastAsia="es-ES"/>
        </w:rPr>
        <w:t xml:space="preserve">Cabe anotar que el proceso para cualquier fusión se encuentra contemplado en los artículos 173 y siguientes del Código de Comercio. Sin embargo, se quiere llamar la atención en el artículo 173, puesto que este establece claramente que la fusión, cualquiera que ella esa, deberá ser aprobada por las </w:t>
      </w:r>
      <w:r w:rsidRPr="00845DF9">
        <w:rPr>
          <w:rFonts w:ascii="Arial" w:eastAsia="Times New Roman" w:hAnsi="Arial" w:cs="Arial"/>
          <w:i/>
          <w:sz w:val="28"/>
          <w:szCs w:val="28"/>
          <w:u w:val="single"/>
          <w:lang w:eastAsia="es-ES"/>
        </w:rPr>
        <w:t>juntas de socios o las asambleas</w:t>
      </w:r>
      <w:r w:rsidRPr="00845DF9">
        <w:rPr>
          <w:rFonts w:ascii="Arial" w:eastAsia="Times New Roman" w:hAnsi="Arial" w:cs="Arial"/>
          <w:sz w:val="28"/>
          <w:szCs w:val="28"/>
          <w:lang w:eastAsia="es-ES"/>
        </w:rPr>
        <w:t xml:space="preserve">.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El apartado anterior tiene todo el sentido porque así suene obvio, los socios son dueños de la sociedad, y por lo tanto ellos tienen la facultad de disponer de ella y de percibir de acuerdo a su derecho, parte de las utilidades que esta pueda reportar.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lastRenderedPageBreak/>
        <w:t xml:space="preserve">En esa línea, los socios por el solo hecho ostentar esta calidad automáticamente cuentan con derechos económicos y derechos políticos. Los derechos económicos están circunscritos a la participación de las utilidades que se decreten y al reembolso o resituación de sus  aportes; mientras que los derechos políticos se refieren a la facultad de participar con voz y voto en las asambleas o juntas de socios para tomar las decisiones que comprometen el destino de la sociedad.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Lo anterior para ser claros y enfáticos en señalar que son los </w:t>
      </w:r>
      <w:r w:rsidRPr="00845DF9">
        <w:rPr>
          <w:rFonts w:ascii="Arial" w:eastAsia="Times New Roman" w:hAnsi="Arial" w:cs="Arial"/>
          <w:i/>
          <w:sz w:val="28"/>
          <w:szCs w:val="28"/>
          <w:u w:val="single"/>
          <w:lang w:val="es-MX" w:eastAsia="es-ES"/>
        </w:rPr>
        <w:t xml:space="preserve">socios </w:t>
      </w:r>
      <w:r w:rsidRPr="00845DF9">
        <w:rPr>
          <w:rFonts w:ascii="Arial" w:eastAsia="Times New Roman" w:hAnsi="Arial" w:cs="Arial"/>
          <w:sz w:val="28"/>
          <w:szCs w:val="28"/>
          <w:lang w:val="es-MX" w:eastAsia="es-ES"/>
        </w:rPr>
        <w:t xml:space="preserve">quienes a través de sus decisiones direccionan y controlan el correcto funcionamiento de la sociedad. No obstante, la ley 1258 de 2008 introdujo a nuestro ordenamiento jurídico una nueva clase de fusión que contradice lo anteriormente expuesto.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Para efectos ilustrativos, transcribimos el artículo 33 de la ley 1258 que consagra la fusión abreviada: </w:t>
      </w:r>
    </w:p>
    <w:p w:rsidR="00845DF9" w:rsidRPr="00845DF9" w:rsidRDefault="00845DF9" w:rsidP="00845DF9">
      <w:pPr>
        <w:spacing w:before="100" w:beforeAutospacing="1" w:after="100" w:afterAutospacing="1" w:line="240" w:lineRule="auto"/>
        <w:jc w:val="both"/>
        <w:rPr>
          <w:rFonts w:ascii="Arial" w:eastAsia="Times New Roman" w:hAnsi="Arial" w:cs="Arial"/>
          <w:i/>
          <w:color w:val="000000" w:themeColor="text1"/>
          <w:sz w:val="28"/>
          <w:szCs w:val="28"/>
          <w:lang w:eastAsia="es-ES"/>
        </w:rPr>
      </w:pPr>
      <w:bookmarkStart w:id="1" w:name="33"/>
      <w:r w:rsidRPr="00845DF9">
        <w:rPr>
          <w:rFonts w:ascii="Arial" w:eastAsia="Times New Roman" w:hAnsi="Arial" w:cs="Arial"/>
          <w:i/>
          <w:color w:val="000000" w:themeColor="text1"/>
          <w:sz w:val="28"/>
          <w:szCs w:val="28"/>
          <w:lang w:eastAsia="es-ES"/>
        </w:rPr>
        <w:t>“ARTÍCULO 33. FUSIÓN ABREVIADA.</w:t>
      </w:r>
      <w:bookmarkEnd w:id="1"/>
      <w:r w:rsidRPr="00845DF9">
        <w:rPr>
          <w:rFonts w:ascii="Arial" w:eastAsia="Times New Roman" w:hAnsi="Arial" w:cs="Arial"/>
          <w:i/>
          <w:color w:val="000000" w:themeColor="text1"/>
          <w:sz w:val="28"/>
          <w:szCs w:val="28"/>
          <w:lang w:eastAsia="es-ES"/>
        </w:rPr>
        <w:t xml:space="preserve">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rsidR="00845DF9" w:rsidRPr="00845DF9" w:rsidRDefault="00845DF9" w:rsidP="00845DF9">
      <w:pPr>
        <w:spacing w:before="100" w:beforeAutospacing="1" w:after="100" w:afterAutospacing="1" w:line="240" w:lineRule="auto"/>
        <w:jc w:val="both"/>
        <w:rPr>
          <w:rFonts w:ascii="Arial" w:eastAsia="Times New Roman" w:hAnsi="Arial" w:cs="Arial"/>
          <w:i/>
          <w:color w:val="000000" w:themeColor="text1"/>
          <w:sz w:val="28"/>
          <w:szCs w:val="28"/>
          <w:lang w:eastAsia="es-ES"/>
        </w:rPr>
      </w:pPr>
      <w:r w:rsidRPr="00845DF9">
        <w:rPr>
          <w:rFonts w:ascii="Arial" w:eastAsia="Times New Roman" w:hAnsi="Arial" w:cs="Arial"/>
          <w:i/>
          <w:color w:val="000000" w:themeColor="text1"/>
          <w:sz w:val="28"/>
          <w:szCs w:val="28"/>
          <w:lang w:eastAsia="es-ES"/>
        </w:rPr>
        <w:t xml:space="preserve">El acuerdo de fusión podrá realizarse por documento privado inscrito en el Registro Mercantil, salvo que dentro de los activos transferidos se encuentren bienes cuya enajenación requiera </w:t>
      </w:r>
      <w:r w:rsidRPr="00845DF9">
        <w:rPr>
          <w:rFonts w:ascii="Arial" w:eastAsia="Times New Roman" w:hAnsi="Arial" w:cs="Arial"/>
          <w:i/>
          <w:color w:val="000000" w:themeColor="text1"/>
          <w:sz w:val="28"/>
          <w:szCs w:val="28"/>
          <w:lang w:eastAsia="es-ES"/>
        </w:rPr>
        <w:lastRenderedPageBreak/>
        <w:t xml:space="preserve">escritura pública. La fusión podrá dar lugar al derecho de retiro a favor de los accionistas ausentes y disidentes en los términos de la Ley </w:t>
      </w:r>
      <w:hyperlink r:id="rId10" w:anchor="1" w:history="1">
        <w:r w:rsidRPr="00845DF9">
          <w:rPr>
            <w:rFonts w:ascii="Arial" w:eastAsia="Times New Roman" w:hAnsi="Arial" w:cs="Arial"/>
            <w:i/>
            <w:color w:val="000000" w:themeColor="text1"/>
            <w:sz w:val="28"/>
            <w:szCs w:val="28"/>
            <w:u w:val="single"/>
            <w:lang w:eastAsia="es-ES"/>
          </w:rPr>
          <w:t>222</w:t>
        </w:r>
      </w:hyperlink>
      <w:r w:rsidRPr="00845DF9">
        <w:rPr>
          <w:rFonts w:ascii="Arial" w:eastAsia="Times New Roman" w:hAnsi="Arial" w:cs="Arial"/>
          <w:i/>
          <w:color w:val="000000" w:themeColor="text1"/>
          <w:sz w:val="28"/>
          <w:szCs w:val="28"/>
          <w:lang w:eastAsia="es-ES"/>
        </w:rPr>
        <w:t xml:space="preserve"> de 1995, así como a la acción de oposición judicial prevista en el artículo </w:t>
      </w:r>
      <w:hyperlink r:id="rId11" w:anchor="175" w:history="1">
        <w:r w:rsidRPr="00845DF9">
          <w:rPr>
            <w:rFonts w:ascii="Arial" w:eastAsia="Times New Roman" w:hAnsi="Arial" w:cs="Arial"/>
            <w:i/>
            <w:color w:val="000000" w:themeColor="text1"/>
            <w:sz w:val="28"/>
            <w:szCs w:val="28"/>
            <w:u w:val="single"/>
            <w:lang w:eastAsia="es-ES"/>
          </w:rPr>
          <w:t>175</w:t>
        </w:r>
      </w:hyperlink>
      <w:r w:rsidRPr="00845DF9">
        <w:rPr>
          <w:rFonts w:ascii="Arial" w:eastAsia="Times New Roman" w:hAnsi="Arial" w:cs="Arial"/>
          <w:i/>
          <w:color w:val="000000" w:themeColor="text1"/>
          <w:sz w:val="28"/>
          <w:szCs w:val="28"/>
          <w:lang w:eastAsia="es-ES"/>
        </w:rPr>
        <w:t xml:space="preserve"> del Código de Comercio.</w:t>
      </w:r>
    </w:p>
    <w:p w:rsidR="00845DF9" w:rsidRPr="00845DF9" w:rsidRDefault="00845DF9" w:rsidP="00845DF9">
      <w:pPr>
        <w:spacing w:before="100" w:beforeAutospacing="1" w:after="100" w:afterAutospacing="1" w:line="240" w:lineRule="auto"/>
        <w:jc w:val="both"/>
        <w:rPr>
          <w:rFonts w:ascii="Arial" w:eastAsia="Times New Roman" w:hAnsi="Arial" w:cs="Arial"/>
          <w:i/>
          <w:color w:val="000000" w:themeColor="text1"/>
          <w:sz w:val="28"/>
          <w:szCs w:val="28"/>
          <w:lang w:eastAsia="es-ES"/>
        </w:rPr>
      </w:pPr>
      <w:r w:rsidRPr="00845DF9">
        <w:rPr>
          <w:rFonts w:ascii="Arial" w:eastAsia="Times New Roman" w:hAnsi="Arial" w:cs="Arial"/>
          <w:i/>
          <w:color w:val="000000" w:themeColor="text1"/>
          <w:sz w:val="28"/>
          <w:szCs w:val="28"/>
          <w:lang w:eastAsia="es-ES"/>
        </w:rPr>
        <w:t xml:space="preserve">El texto del acuerdo de fusión abreviada tendrá que ser publicado en un diario de amplia circulación según lo establece la Ley </w:t>
      </w:r>
      <w:hyperlink r:id="rId12" w:anchor="1" w:history="1">
        <w:r w:rsidRPr="00845DF9">
          <w:rPr>
            <w:rFonts w:ascii="Arial" w:eastAsia="Times New Roman" w:hAnsi="Arial" w:cs="Arial"/>
            <w:i/>
            <w:color w:val="000000" w:themeColor="text1"/>
            <w:sz w:val="28"/>
            <w:szCs w:val="28"/>
            <w:u w:val="single"/>
            <w:lang w:eastAsia="es-ES"/>
          </w:rPr>
          <w:t>222</w:t>
        </w:r>
      </w:hyperlink>
      <w:r w:rsidRPr="00845DF9">
        <w:rPr>
          <w:rFonts w:ascii="Arial" w:eastAsia="Times New Roman" w:hAnsi="Arial" w:cs="Arial"/>
          <w:i/>
          <w:color w:val="000000" w:themeColor="text1"/>
          <w:sz w:val="28"/>
          <w:szCs w:val="28"/>
          <w:lang w:eastAsia="es-ES"/>
        </w:rPr>
        <w:t xml:space="preserve"> de 1995, dentro de ese mismo término habrá lugar a la oposición por parte de terceros interesados quienes podrán exigir garantías necesarias y/o suficientes”</w:t>
      </w:r>
      <w:r w:rsidRPr="00845DF9">
        <w:rPr>
          <w:rFonts w:ascii="Arial" w:eastAsia="Times New Roman" w:hAnsi="Arial" w:cs="Arial"/>
          <w:i/>
          <w:color w:val="000000" w:themeColor="text1"/>
          <w:sz w:val="28"/>
          <w:szCs w:val="28"/>
          <w:vertAlign w:val="superscript"/>
          <w:lang w:eastAsia="es-ES"/>
        </w:rPr>
        <w:footnoteReference w:id="5"/>
      </w:r>
    </w:p>
    <w:p w:rsidR="00845DF9" w:rsidRPr="00845DF9" w:rsidRDefault="00845DF9" w:rsidP="00845DF9">
      <w:pPr>
        <w:spacing w:after="0" w:line="360" w:lineRule="auto"/>
        <w:jc w:val="both"/>
        <w:rPr>
          <w:rFonts w:ascii="Arial" w:eastAsia="Times New Roman" w:hAnsi="Arial" w:cs="Arial"/>
          <w:sz w:val="28"/>
          <w:szCs w:val="28"/>
          <w:lang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Como puede observarse en el inciso primero de la norma en comento, la aprobación de esta nueva clase de fusión es trasladada de los socios a los administradores y los representantes legales. En efecto, este traslado de funciones trae consigo impactos negativos que son menester de estudiar respaldándonos en FELIPE CUBEROS</w:t>
      </w:r>
      <w:r w:rsidRPr="00845DF9">
        <w:rPr>
          <w:rFonts w:ascii="Arial" w:eastAsia="Times New Roman" w:hAnsi="Arial" w:cs="Arial"/>
          <w:sz w:val="28"/>
          <w:szCs w:val="28"/>
          <w:vertAlign w:val="superscript"/>
          <w:lang w:val="es-MX" w:eastAsia="es-ES"/>
        </w:rPr>
        <w:footnoteReference w:id="6"/>
      </w:r>
      <w:r w:rsidRPr="00845DF9">
        <w:rPr>
          <w:rFonts w:ascii="Arial" w:eastAsia="Times New Roman" w:hAnsi="Arial" w:cs="Arial"/>
          <w:sz w:val="28"/>
          <w:szCs w:val="28"/>
          <w:lang w:val="es-MX" w:eastAsia="es-ES"/>
        </w:rPr>
        <w:t xml:space="preserve">, estos impactos son: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Facultar a los administradores y a los representantes legales de tomar decisiones tan importantes sin ni siquiera contar con la aprobación o autorización de los socios, genera en estos últimos un nivel de </w:t>
      </w:r>
      <w:r w:rsidRPr="00845DF9">
        <w:rPr>
          <w:rFonts w:ascii="Arial" w:eastAsia="Times New Roman" w:hAnsi="Arial" w:cs="Arial"/>
          <w:i/>
          <w:sz w:val="28"/>
          <w:szCs w:val="28"/>
          <w:u w:val="single"/>
          <w:lang w:val="es-MX" w:eastAsia="es-ES"/>
        </w:rPr>
        <w:t xml:space="preserve">incertidumbre </w:t>
      </w:r>
      <w:r w:rsidRPr="00845DF9">
        <w:rPr>
          <w:rFonts w:ascii="Arial" w:eastAsia="Times New Roman" w:hAnsi="Arial" w:cs="Arial"/>
          <w:sz w:val="28"/>
          <w:szCs w:val="28"/>
          <w:lang w:val="es-MX" w:eastAsia="es-ES"/>
        </w:rPr>
        <w:t xml:space="preserve">inconveniente para el mismo desarrollo de la sociedad. Lo anterior se traduce en que el socio precavido o temeroso, evitará hacer inyecciones de capital o cualquier otra clase de inversión, toda vez que este no tiene el </w:t>
      </w:r>
      <w:r w:rsidRPr="00845DF9">
        <w:rPr>
          <w:rFonts w:ascii="Arial" w:eastAsia="Times New Roman" w:hAnsi="Arial" w:cs="Arial"/>
          <w:i/>
          <w:sz w:val="28"/>
          <w:szCs w:val="28"/>
          <w:u w:val="single"/>
          <w:lang w:val="es-MX" w:eastAsia="es-ES"/>
        </w:rPr>
        <w:t>control</w:t>
      </w:r>
      <w:r w:rsidRPr="00845DF9">
        <w:rPr>
          <w:rFonts w:ascii="Arial" w:eastAsia="Times New Roman" w:hAnsi="Arial" w:cs="Arial"/>
          <w:sz w:val="28"/>
          <w:szCs w:val="28"/>
          <w:lang w:val="es-MX" w:eastAsia="es-ES"/>
        </w:rPr>
        <w:t xml:space="preserve"> absoluto de la </w:t>
      </w:r>
      <w:r w:rsidRPr="00845DF9">
        <w:rPr>
          <w:rFonts w:ascii="Arial" w:eastAsia="Times New Roman" w:hAnsi="Arial" w:cs="Arial"/>
          <w:sz w:val="28"/>
          <w:szCs w:val="28"/>
          <w:lang w:val="es-MX" w:eastAsia="es-ES"/>
        </w:rPr>
        <w:lastRenderedPageBreak/>
        <w:t xml:space="preserve">sociedad, ya que este es limitado por esta disposición normativa en razón al poder que se le otorga a los administradores y representantes legales.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Confiar en los administradores y los representantes legales la realización de la fusión abreviada conlleva a un supuesto no permisible a la luz del derecho privado como lo es </w:t>
      </w:r>
      <w:r w:rsidRPr="00845DF9">
        <w:rPr>
          <w:rFonts w:ascii="Arial" w:eastAsia="Times New Roman" w:hAnsi="Arial" w:cs="Arial"/>
          <w:i/>
          <w:sz w:val="28"/>
          <w:szCs w:val="28"/>
          <w:u w:val="single"/>
          <w:lang w:val="es-MX" w:eastAsia="es-ES"/>
        </w:rPr>
        <w:t>disponer</w:t>
      </w:r>
      <w:r w:rsidRPr="00845DF9">
        <w:rPr>
          <w:rFonts w:ascii="Arial" w:eastAsia="Times New Roman" w:hAnsi="Arial" w:cs="Arial"/>
          <w:sz w:val="28"/>
          <w:szCs w:val="28"/>
          <w:lang w:val="es-MX" w:eastAsia="es-ES"/>
        </w:rPr>
        <w:t xml:space="preserve"> de lo que no les pertenece. En esa medida, los administradores podrán tomar unilateralmente la decisión de realizar una fusión abreviada cuando sus requisitos se cumplan, y como consecuencia, esta decisión tendrá incidencia directa o indirectamente sobre los socios y su sociedad, no sobre los mismos administradores, lo cual resulta excesivamente desproporcional. </w:t>
      </w:r>
    </w:p>
    <w:p w:rsidR="00845DF9" w:rsidRPr="00845DF9" w:rsidRDefault="00845DF9" w:rsidP="00845DF9">
      <w:pPr>
        <w:spacing w:after="0" w:line="360" w:lineRule="auto"/>
        <w:ind w:left="720"/>
        <w:contextualSpacing/>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Concatenados con el punto anterior, la disposición normativa en comento no establece además una mayor responsabilidad para los administradores al momento de realizar una fusión abreviada. Una decisión tan trascendental para la sociedad por parte de los administradores se encuentra sometida a un régimen de responsabilidad media, lo cual se presta para negligencia y abusos por parte de estos últimos.  </w:t>
      </w:r>
    </w:p>
    <w:p w:rsidR="00845DF9" w:rsidRPr="00845DF9" w:rsidRDefault="00845DF9" w:rsidP="00845DF9">
      <w:pPr>
        <w:spacing w:after="0" w:line="360" w:lineRule="auto"/>
        <w:ind w:left="720"/>
        <w:contextualSpacing/>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i/>
          <w:sz w:val="28"/>
          <w:szCs w:val="28"/>
          <w:lang w:val="es-MX" w:eastAsia="es-ES"/>
        </w:rPr>
      </w:pPr>
      <w:r w:rsidRPr="00845DF9">
        <w:rPr>
          <w:rFonts w:ascii="Arial" w:eastAsia="Times New Roman" w:hAnsi="Arial" w:cs="Arial"/>
          <w:sz w:val="28"/>
          <w:szCs w:val="28"/>
          <w:lang w:val="es-MX" w:eastAsia="es-ES"/>
        </w:rPr>
        <w:t xml:space="preserve">De la misma manera, compartimos la posición que sobre el particular tiene autorizada doctrina encabezada por FELIPE </w:t>
      </w:r>
      <w:r w:rsidRPr="00845DF9">
        <w:rPr>
          <w:rFonts w:ascii="Arial" w:eastAsia="Times New Roman" w:hAnsi="Arial" w:cs="Arial"/>
          <w:sz w:val="28"/>
          <w:szCs w:val="28"/>
          <w:lang w:val="es-MX" w:eastAsia="es-ES"/>
        </w:rPr>
        <w:lastRenderedPageBreak/>
        <w:t xml:space="preserve">CUBEROS quien sostiene lo siguiente </w:t>
      </w:r>
      <w:r w:rsidRPr="00845DF9">
        <w:rPr>
          <w:rFonts w:ascii="Arial" w:eastAsia="Times New Roman" w:hAnsi="Arial" w:cs="Arial"/>
          <w:i/>
          <w:sz w:val="28"/>
          <w:szCs w:val="28"/>
          <w:lang w:val="es-MX" w:eastAsia="es-ES"/>
        </w:rPr>
        <w:t>“Pensar que un administrador pueda tranquilamente tomar por sí mismo la decisión de fusionar a la compañía con otra , y que por su parte, el accionista no tenga más remedio que retirarse de la sociedad, como lo veremos después, es a todas luces un despropósito de grandes dimensiones, cuyas consecuencias anticipamos nefastas, sobre todo en empresas donde exista una amplia delegación de poderes en los administradores y una reducida inmediación de los accionistas frente a decisiones gerenciales”</w:t>
      </w:r>
      <w:r w:rsidRPr="00845DF9">
        <w:rPr>
          <w:rFonts w:ascii="Arial" w:eastAsia="Times New Roman" w:hAnsi="Arial" w:cs="Arial"/>
          <w:i/>
          <w:sz w:val="28"/>
          <w:szCs w:val="28"/>
          <w:vertAlign w:val="superscript"/>
          <w:lang w:val="es-MX" w:eastAsia="es-ES"/>
        </w:rPr>
        <w:footnoteReference w:id="7"/>
      </w:r>
      <w:r w:rsidRPr="00845DF9">
        <w:rPr>
          <w:rFonts w:ascii="Arial" w:eastAsia="Times New Roman" w:hAnsi="Arial" w:cs="Arial"/>
          <w:i/>
          <w:sz w:val="28"/>
          <w:szCs w:val="28"/>
          <w:lang w:val="es-MX" w:eastAsia="es-ES"/>
        </w:rPr>
        <w:t xml:space="preserve">. </w:t>
      </w:r>
    </w:p>
    <w:p w:rsidR="00845DF9" w:rsidRPr="00845DF9" w:rsidRDefault="00845DF9" w:rsidP="00845DF9">
      <w:pPr>
        <w:spacing w:after="0" w:line="360" w:lineRule="auto"/>
        <w:ind w:left="720"/>
        <w:contextualSpacing/>
        <w:jc w:val="both"/>
        <w:rPr>
          <w:rFonts w:ascii="Arial" w:eastAsia="Times New Roman" w:hAnsi="Arial" w:cs="Arial"/>
          <w:i/>
          <w:sz w:val="28"/>
          <w:szCs w:val="28"/>
          <w:lang w:val="es-MX" w:eastAsia="es-ES"/>
        </w:rPr>
      </w:pPr>
    </w:p>
    <w:p w:rsidR="00845DF9" w:rsidRPr="00845DF9" w:rsidRDefault="00845DF9" w:rsidP="00845DF9">
      <w:pPr>
        <w:spacing w:after="0" w:line="360" w:lineRule="auto"/>
        <w:jc w:val="both"/>
        <w:rPr>
          <w:rFonts w:ascii="Arial" w:eastAsia="Times New Roman" w:hAnsi="Arial" w:cs="Arial"/>
          <w:i/>
          <w:sz w:val="28"/>
          <w:szCs w:val="28"/>
          <w:lang w:val="es-MX" w:eastAsia="es-ES"/>
        </w:rPr>
      </w:pPr>
      <w:r w:rsidRPr="00845DF9">
        <w:rPr>
          <w:rFonts w:ascii="Arial" w:eastAsia="Times New Roman" w:hAnsi="Arial" w:cs="Arial"/>
          <w:sz w:val="28"/>
          <w:szCs w:val="28"/>
          <w:lang w:val="es-MX" w:eastAsia="es-ES"/>
        </w:rPr>
        <w:t xml:space="preserve">Por otro lado, también se pone en entredicho la utilidad práctica de una indebida redacción en la disposición normativa en estudio. El inciso segundo del artículo 33 de la ley 1258 consagra que durante el proceso de la fusión abreviada los acreedores de la sociedad cuentan con la acción de oposición judicial consagrada en el artículo 175 del Código de Comercio. En efecto, el artículo 175 del Estatuto mercantil dispone que los acreedores de la sociedad absorbida dentro de los treinta días siguientes a la fecha de publicación al acuerdo de fusión, </w:t>
      </w:r>
      <w:proofErr w:type="gramStart"/>
      <w:r w:rsidRPr="00845DF9">
        <w:rPr>
          <w:rFonts w:ascii="Arial" w:eastAsia="Times New Roman" w:hAnsi="Arial" w:cs="Arial"/>
          <w:sz w:val="28"/>
          <w:szCs w:val="28"/>
          <w:lang w:val="es-MX" w:eastAsia="es-ES"/>
        </w:rPr>
        <w:t>podrán</w:t>
      </w:r>
      <w:proofErr w:type="gramEnd"/>
      <w:r w:rsidRPr="00845DF9">
        <w:rPr>
          <w:rFonts w:ascii="Arial" w:eastAsia="Times New Roman" w:hAnsi="Arial" w:cs="Arial"/>
          <w:sz w:val="28"/>
          <w:szCs w:val="28"/>
          <w:lang w:val="es-MX" w:eastAsia="es-ES"/>
        </w:rPr>
        <w:t xml:space="preserve"> exigir garantías suficientes y satisfactorias para el pago de sus créditos.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lastRenderedPageBreak/>
        <w:t xml:space="preserve">Empero, el inciso tercero del artículo 33 también establece que los terceros interesados podrán hacer oposición y exigir garantías necesarias y suficientes para el pago de sus créditos. </w:t>
      </w:r>
    </w:p>
    <w:p w:rsidR="00845DF9" w:rsidRPr="00845DF9" w:rsidRDefault="00845DF9" w:rsidP="00845DF9">
      <w:pPr>
        <w:spacing w:after="0" w:line="360" w:lineRule="auto"/>
        <w:ind w:left="720"/>
        <w:contextualSpacing/>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Con base a lo anterior, puede vislumbrarse como el artículo 33 de la ley 1258 aumenta el terreno para que no solamente acreedores puedan oponerse al proceso de fusión sino </w:t>
      </w:r>
      <w:r w:rsidRPr="00845DF9">
        <w:rPr>
          <w:rFonts w:ascii="Arial" w:eastAsia="Times New Roman" w:hAnsi="Arial" w:cs="Arial"/>
          <w:i/>
          <w:sz w:val="28"/>
          <w:szCs w:val="28"/>
          <w:u w:val="single"/>
          <w:lang w:val="es-MX" w:eastAsia="es-ES"/>
        </w:rPr>
        <w:t>terceros interesados</w:t>
      </w:r>
      <w:r w:rsidRPr="00845DF9">
        <w:rPr>
          <w:rFonts w:ascii="Arial" w:eastAsia="Times New Roman" w:hAnsi="Arial" w:cs="Arial"/>
          <w:i/>
          <w:sz w:val="28"/>
          <w:szCs w:val="28"/>
          <w:lang w:val="es-MX" w:eastAsia="es-ES"/>
        </w:rPr>
        <w:t xml:space="preserve">. </w:t>
      </w:r>
      <w:r w:rsidRPr="00845DF9">
        <w:rPr>
          <w:rFonts w:ascii="Arial" w:eastAsia="Times New Roman" w:hAnsi="Arial" w:cs="Arial"/>
          <w:sz w:val="28"/>
          <w:szCs w:val="28"/>
          <w:lang w:val="es-MX" w:eastAsia="es-ES"/>
        </w:rPr>
        <w:t xml:space="preserve">En cualquier caso, esta expresión se presta para que personas naturales o jurídicas que no sean acreedores de la sociedad absorbida puedan oponerse al proceso de fusión y de esta manera puedan hacerlo más engorroso o dilatarlo. </w:t>
      </w:r>
    </w:p>
    <w:p w:rsidR="00845DF9" w:rsidRPr="00845DF9" w:rsidRDefault="00845DF9" w:rsidP="00845DF9">
      <w:pPr>
        <w:spacing w:after="0" w:line="360" w:lineRule="auto"/>
        <w:ind w:left="720"/>
        <w:contextualSpacing/>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Precisamente lo anterior es lo que debe evitarse, es decir, los procesos de fusión en cualquiera de su modalidad deben hacerse de la forma más expedita posible, sin requerimientos u obstáculos que hagan más oneroso en términos de tiempo, tramites y dinero el perfeccionamiento de la fusión.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Visto lo anterior, cabe hacer una última apreciación sobre el derecho de retiro a favor de los accionistas que consagra el inciso segundo del artículo 33.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El Derecho de Retiro se encuentra consagrado en el artículo 14 de la ley 222 de 1995. En ella se establece que los socios ausentes o </w:t>
      </w:r>
      <w:r w:rsidRPr="00845DF9">
        <w:rPr>
          <w:rFonts w:ascii="Arial" w:eastAsia="Times New Roman" w:hAnsi="Arial" w:cs="Arial"/>
          <w:sz w:val="28"/>
          <w:szCs w:val="28"/>
          <w:lang w:val="es-MX" w:eastAsia="es-ES"/>
        </w:rPr>
        <w:lastRenderedPageBreak/>
        <w:t xml:space="preserve">disidentes en la toma de una determinada decisión de la Asamblea o Junta de Socios podrán retirarse de la sociedad, y sus acciones, cuotas o partes de interés se ofrecerán a los demás socios para que estos las adquieran, so pena de ser reembolsadas al socio retirado. </w:t>
      </w:r>
    </w:p>
    <w:p w:rsidR="00845DF9" w:rsidRPr="00845DF9" w:rsidRDefault="00845DF9" w:rsidP="00845DF9">
      <w:pPr>
        <w:spacing w:after="0" w:line="360" w:lineRule="auto"/>
        <w:ind w:left="720"/>
        <w:contextualSpacing/>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Sin embargo, como ya se ha visto con anterioridad, el procedimiento de fusión abreviada sopesa sobre los administradores y no sobre los socios, lo cual naturalmente significa que estos últimos siempre serán </w:t>
      </w:r>
      <w:r w:rsidRPr="00845DF9">
        <w:rPr>
          <w:rFonts w:ascii="Arial" w:eastAsia="Times New Roman" w:hAnsi="Arial" w:cs="Arial"/>
          <w:i/>
          <w:sz w:val="28"/>
          <w:szCs w:val="28"/>
          <w:u w:val="single"/>
          <w:lang w:val="es-MX" w:eastAsia="es-ES"/>
        </w:rPr>
        <w:t>ausentes y no disidentes</w:t>
      </w:r>
      <w:r w:rsidRPr="00845DF9">
        <w:rPr>
          <w:rFonts w:ascii="Arial" w:eastAsia="Times New Roman" w:hAnsi="Arial" w:cs="Arial"/>
          <w:sz w:val="28"/>
          <w:szCs w:val="28"/>
          <w:lang w:val="es-MX" w:eastAsia="es-ES"/>
        </w:rPr>
        <w:t xml:space="preserve">. En ese sentido, nótese como el articulo 33 cercena el derecho que tienen los socios de participar, oponerse y votar una decisión tan importante para la sociedad, no les queda otra opción legal que adherirse a lo que libremente decidan los administradores o retirarse de la compañía, lo cual es verdaderamente irrazonable y desproporcional. El Derecho de Retiro entonces, queda a medias a la luz del artículo 33.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Estudiado este artículo, podemos afirmar de forma contundente como los derechos políticos estudiados con anterioridad son cercenados en su totalidad para el caso de una fusión abreviada, lo cual afecta directamente a los socios y sus intereses. El presente proyecto de ley entonces propende por restablecer a los socios la facultad de decidir sobre una fusión, tal y como ocurre con el resto </w:t>
      </w:r>
      <w:r w:rsidRPr="00845DF9">
        <w:rPr>
          <w:rFonts w:ascii="Arial" w:eastAsia="Times New Roman" w:hAnsi="Arial" w:cs="Arial"/>
          <w:sz w:val="28"/>
          <w:szCs w:val="28"/>
          <w:lang w:val="es-MX" w:eastAsia="es-ES"/>
        </w:rPr>
        <w:lastRenderedPageBreak/>
        <w:t xml:space="preserve">de los tipos societarios contemplados en el Código de Comercio según lo dispone su artículo 173 que reza lo siguiente: </w:t>
      </w:r>
    </w:p>
    <w:p w:rsidR="00845DF9" w:rsidRPr="00845DF9" w:rsidRDefault="00845DF9" w:rsidP="00845DF9">
      <w:pPr>
        <w:spacing w:after="0" w:line="360" w:lineRule="auto"/>
        <w:jc w:val="both"/>
        <w:rPr>
          <w:rFonts w:ascii="Arial" w:eastAsia="Times New Roman" w:hAnsi="Arial" w:cs="Arial"/>
          <w:i/>
          <w:sz w:val="28"/>
          <w:szCs w:val="28"/>
          <w:lang w:val="es-MX" w:eastAsia="es-ES"/>
        </w:rPr>
      </w:pPr>
    </w:p>
    <w:p w:rsidR="00845DF9" w:rsidRPr="00845DF9" w:rsidRDefault="00845DF9" w:rsidP="00845DF9">
      <w:pPr>
        <w:spacing w:after="0" w:line="360" w:lineRule="auto"/>
        <w:jc w:val="both"/>
        <w:rPr>
          <w:rFonts w:ascii="Arial" w:eastAsia="Times New Roman" w:hAnsi="Arial" w:cs="Arial"/>
          <w:sz w:val="24"/>
          <w:szCs w:val="24"/>
          <w:lang w:eastAsia="es-ES"/>
        </w:rPr>
      </w:pPr>
      <w:r w:rsidRPr="00845DF9">
        <w:rPr>
          <w:rFonts w:ascii="Arial" w:eastAsia="Times New Roman" w:hAnsi="Arial" w:cs="Arial"/>
          <w:bCs/>
          <w:i/>
          <w:sz w:val="24"/>
          <w:szCs w:val="24"/>
          <w:lang w:eastAsia="es-ES"/>
        </w:rPr>
        <w:t>“ARTÍCULO 173. APROBACIÓN Y CONTENIDO DE LA FUSIÓN DE SOCIEDAD.</w:t>
      </w:r>
      <w:r w:rsidRPr="00845DF9">
        <w:rPr>
          <w:rFonts w:ascii="Arial" w:eastAsia="Times New Roman" w:hAnsi="Arial" w:cs="Arial"/>
          <w:i/>
          <w:sz w:val="24"/>
          <w:szCs w:val="24"/>
          <w:lang w:eastAsia="es-ES"/>
        </w:rPr>
        <w:t xml:space="preserve"> </w:t>
      </w:r>
      <w:r w:rsidRPr="00845DF9">
        <w:rPr>
          <w:rFonts w:ascii="Arial" w:eastAsia="Times New Roman" w:hAnsi="Arial" w:cs="Arial"/>
          <w:b/>
          <w:i/>
          <w:sz w:val="24"/>
          <w:szCs w:val="24"/>
          <w:lang w:eastAsia="es-ES"/>
        </w:rPr>
        <w:t>Las juntas de socios o las asambleas aprobarán</w:t>
      </w:r>
      <w:r w:rsidRPr="00845DF9">
        <w:rPr>
          <w:rFonts w:ascii="Arial" w:eastAsia="Times New Roman" w:hAnsi="Arial" w:cs="Arial"/>
          <w:i/>
          <w:sz w:val="24"/>
          <w:szCs w:val="24"/>
          <w:lang w:eastAsia="es-ES"/>
        </w:rPr>
        <w:t>, con el quórum previsto en sus estatutos para la fusión o, en su defecto, para la disolución anticipada, el compromiso respectivo, que deberá contener (…)”</w:t>
      </w:r>
      <w:r w:rsidRPr="00845DF9">
        <w:rPr>
          <w:rFonts w:ascii="Arial" w:eastAsia="Times New Roman" w:hAnsi="Arial" w:cs="Arial"/>
          <w:i/>
          <w:sz w:val="24"/>
          <w:szCs w:val="24"/>
          <w:vertAlign w:val="superscript"/>
          <w:lang w:eastAsia="es-ES"/>
        </w:rPr>
        <w:footnoteReference w:id="8"/>
      </w:r>
      <w:r w:rsidRPr="00845DF9">
        <w:rPr>
          <w:rFonts w:ascii="Arial" w:eastAsia="Times New Roman" w:hAnsi="Arial" w:cs="Arial"/>
          <w:i/>
          <w:sz w:val="24"/>
          <w:szCs w:val="24"/>
          <w:lang w:eastAsia="es-ES"/>
        </w:rPr>
        <w:t xml:space="preserve"> </w:t>
      </w:r>
      <w:r w:rsidRPr="00845DF9">
        <w:rPr>
          <w:rFonts w:ascii="Arial" w:eastAsia="Times New Roman" w:hAnsi="Arial" w:cs="Arial"/>
          <w:sz w:val="24"/>
          <w:szCs w:val="24"/>
          <w:lang w:eastAsia="es-ES"/>
        </w:rPr>
        <w:t>(NEGRILLAS FUERA DEL TEXTO ORIGINAL).</w:t>
      </w:r>
    </w:p>
    <w:p w:rsidR="00845DF9" w:rsidRPr="00845DF9" w:rsidRDefault="00845DF9" w:rsidP="00845DF9">
      <w:pPr>
        <w:spacing w:after="0" w:line="360" w:lineRule="auto"/>
        <w:jc w:val="both"/>
        <w:rPr>
          <w:rFonts w:ascii="Arial" w:eastAsia="Times New Roman" w:hAnsi="Arial" w:cs="Arial"/>
          <w:sz w:val="24"/>
          <w:szCs w:val="24"/>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numPr>
          <w:ilvl w:val="0"/>
          <w:numId w:val="1"/>
        </w:numPr>
        <w:spacing w:after="0" w:line="360" w:lineRule="auto"/>
        <w:contextualSpacing/>
        <w:jc w:val="both"/>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CONCLUSIÓN</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Con base a los argumentos esgrimidos en las páginas precedentes  y adhiriéndonos a las proposiciones de FELIPE CUBEROS</w:t>
      </w:r>
      <w:r w:rsidRPr="00845DF9">
        <w:rPr>
          <w:rFonts w:ascii="Arial" w:eastAsia="Times New Roman" w:hAnsi="Arial" w:cs="Arial"/>
          <w:sz w:val="28"/>
          <w:szCs w:val="28"/>
          <w:vertAlign w:val="superscript"/>
          <w:lang w:val="es-MX" w:eastAsia="es-ES"/>
        </w:rPr>
        <w:footnoteReference w:id="9"/>
      </w:r>
      <w:r w:rsidRPr="00845DF9">
        <w:rPr>
          <w:rFonts w:ascii="Arial" w:eastAsia="Times New Roman" w:hAnsi="Arial" w:cs="Arial"/>
          <w:sz w:val="28"/>
          <w:szCs w:val="28"/>
          <w:lang w:val="es-MX" w:eastAsia="es-ES"/>
        </w:rPr>
        <w:t xml:space="preserve">, el artículo 33 de la ley 1258 de 2008 presenta serios vacíos e incertidumbres en perjuicio de los socios y la misma teoría general de las sociedades. Razón por la cual, el presente proyecto de ley busca reformar este artículo para devolver a las Asambleas o Juntas de Socios la facultad de decidir sobre la procedencia o no de una fusión abreviada, y soslayar el término “terceros interesados” para agilizar los trámites de la fusión abreviada, de tal forma que solo sobre los acreedores descanse de forma exclusiva y excluyente la acción de oposición judicial.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both"/>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 xml:space="preserve">Teniendo en cuenta las consideraciones precedentes, pongo en consideración del H. Congreso de la República este proyecto de ley. </w:t>
      </w:r>
    </w:p>
    <w:p w:rsidR="00845DF9" w:rsidRPr="00845DF9" w:rsidRDefault="00845DF9" w:rsidP="00845DF9">
      <w:pPr>
        <w:spacing w:after="0" w:line="360" w:lineRule="auto"/>
        <w:jc w:val="both"/>
        <w:rPr>
          <w:rFonts w:ascii="Arial" w:eastAsia="Times New Roman" w:hAnsi="Arial" w:cs="Arial"/>
          <w:sz w:val="28"/>
          <w:szCs w:val="28"/>
          <w:lang w:val="es-MX" w:eastAsia="es-ES"/>
        </w:rPr>
      </w:pPr>
    </w:p>
    <w:p w:rsidR="00845DF9" w:rsidRPr="00845DF9" w:rsidRDefault="00845DF9" w:rsidP="00845DF9">
      <w:pPr>
        <w:spacing w:after="0" w:line="360" w:lineRule="auto"/>
        <w:jc w:val="center"/>
        <w:rPr>
          <w:rFonts w:ascii="Arial" w:eastAsia="Times New Roman" w:hAnsi="Arial" w:cs="Arial"/>
          <w:b/>
          <w:sz w:val="28"/>
          <w:szCs w:val="28"/>
          <w:lang w:val="es-MX" w:eastAsia="es-ES"/>
        </w:rPr>
      </w:pPr>
    </w:p>
    <w:p w:rsidR="00845DF9" w:rsidRPr="00845DF9" w:rsidRDefault="00845DF9" w:rsidP="00845DF9">
      <w:pPr>
        <w:spacing w:after="0" w:line="360" w:lineRule="auto"/>
        <w:jc w:val="center"/>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DE LOS HONORABLES CONGRESISTAS</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Default="00845DF9" w:rsidP="00845DF9">
      <w:pPr>
        <w:spacing w:after="0" w:line="360" w:lineRule="auto"/>
        <w:rPr>
          <w:rFonts w:ascii="Arial" w:eastAsia="Times New Roman" w:hAnsi="Arial" w:cs="Arial"/>
          <w:b/>
          <w:sz w:val="28"/>
          <w:szCs w:val="28"/>
          <w:lang w:val="es-MX" w:eastAsia="es-ES"/>
        </w:rPr>
      </w:pPr>
      <w:r>
        <w:rPr>
          <w:rFonts w:ascii="Arial" w:eastAsia="Times New Roman" w:hAnsi="Arial" w:cs="Arial"/>
          <w:b/>
          <w:sz w:val="28"/>
          <w:szCs w:val="28"/>
          <w:lang w:val="es-MX" w:eastAsia="es-ES"/>
        </w:rPr>
        <w:t>AUTORA,</w:t>
      </w:r>
    </w:p>
    <w:p w:rsid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spacing w:after="0" w:line="360" w:lineRule="auto"/>
        <w:rPr>
          <w:rFonts w:ascii="Arial" w:eastAsia="Times New Roman" w:hAnsi="Arial" w:cs="Arial"/>
          <w:b/>
          <w:sz w:val="28"/>
          <w:szCs w:val="28"/>
          <w:lang w:val="es-MX" w:eastAsia="es-ES"/>
        </w:rPr>
      </w:pPr>
    </w:p>
    <w:p w:rsidR="00845DF9" w:rsidRDefault="00845DF9" w:rsidP="00845DF9">
      <w:pPr>
        <w:spacing w:after="0" w:line="360" w:lineRule="auto"/>
        <w:rPr>
          <w:rFonts w:ascii="Arial" w:eastAsia="Times New Roman" w:hAnsi="Arial" w:cs="Arial"/>
          <w:b/>
          <w:sz w:val="28"/>
          <w:szCs w:val="28"/>
          <w:lang w:val="es-MX" w:eastAsia="es-ES"/>
        </w:rPr>
      </w:pPr>
      <w:r w:rsidRPr="00845DF9">
        <w:rPr>
          <w:rFonts w:ascii="Arial" w:eastAsia="Times New Roman" w:hAnsi="Arial" w:cs="Arial"/>
          <w:b/>
          <w:sz w:val="28"/>
          <w:szCs w:val="28"/>
          <w:lang w:val="es-MX" w:eastAsia="es-ES"/>
        </w:rPr>
        <w:t xml:space="preserve">ROSMERY MARTÍNEZ ROSALES </w:t>
      </w:r>
    </w:p>
    <w:p w:rsid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jc w:val="both"/>
        <w:rPr>
          <w:rFonts w:ascii="Arial" w:hAnsi="Arial" w:cs="Arial"/>
          <w:b/>
          <w:color w:val="000000" w:themeColor="text1"/>
        </w:rPr>
      </w:pPr>
    </w:p>
    <w:p w:rsidR="00845DF9" w:rsidRDefault="00845DF9" w:rsidP="00845DF9">
      <w:pPr>
        <w:jc w:val="both"/>
        <w:rPr>
          <w:rFonts w:ascii="Arial" w:hAnsi="Arial" w:cs="Arial"/>
          <w:color w:val="000000" w:themeColor="text1"/>
        </w:rPr>
      </w:pPr>
      <w:r w:rsidRPr="00845DF9">
        <w:rPr>
          <w:rFonts w:ascii="Arial" w:hAnsi="Arial" w:cs="Arial"/>
          <w:b/>
          <w:color w:val="000000" w:themeColor="text1"/>
        </w:rPr>
        <w:t xml:space="preserve"> COAUTOR</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 xml:space="preserve"> _________________________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lastRenderedPageBreak/>
        <w:t>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_________________________                         ___________________________</w:t>
      </w:r>
    </w:p>
    <w:p w:rsidR="00845DF9" w:rsidRP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Default="00845DF9" w:rsidP="00845DF9">
      <w:pPr>
        <w:spacing w:after="0" w:line="360" w:lineRule="auto"/>
        <w:rPr>
          <w:rFonts w:ascii="Arial" w:eastAsia="Times New Roman" w:hAnsi="Arial" w:cs="Arial"/>
          <w:sz w:val="28"/>
          <w:szCs w:val="28"/>
          <w:lang w:val="es-MX" w:eastAsia="es-ES"/>
        </w:rPr>
      </w:pPr>
    </w:p>
    <w:p w:rsidR="00845DF9" w:rsidRDefault="00845DF9" w:rsidP="00845DF9">
      <w:pPr>
        <w:spacing w:after="0" w:line="360" w:lineRule="auto"/>
        <w:rPr>
          <w:rFonts w:ascii="Arial" w:eastAsia="Times New Roman" w:hAnsi="Arial" w:cs="Arial"/>
          <w:sz w:val="28"/>
          <w:szCs w:val="28"/>
          <w:lang w:val="es-MX" w:eastAsia="es-ES"/>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                           ___________________________</w:t>
      </w: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p>
    <w:p w:rsidR="00845DF9" w:rsidRDefault="00845DF9" w:rsidP="00845DF9">
      <w:pPr>
        <w:jc w:val="both"/>
        <w:rPr>
          <w:rFonts w:ascii="Arial" w:hAnsi="Arial" w:cs="Arial"/>
          <w:color w:val="000000" w:themeColor="text1"/>
        </w:rPr>
      </w:pPr>
      <w:r>
        <w:rPr>
          <w:rFonts w:ascii="Arial" w:hAnsi="Arial" w:cs="Arial"/>
          <w:color w:val="000000" w:themeColor="text1"/>
        </w:rPr>
        <w:t>_________________________                         ___________________________</w:t>
      </w:r>
    </w:p>
    <w:p w:rsidR="00845DF9" w:rsidRPr="00845DF9" w:rsidRDefault="00845DF9" w:rsidP="00845DF9">
      <w:pPr>
        <w:spacing w:after="0" w:line="360" w:lineRule="auto"/>
        <w:rPr>
          <w:rFonts w:ascii="Arial" w:eastAsia="Times New Roman" w:hAnsi="Arial" w:cs="Arial"/>
          <w:b/>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r w:rsidRPr="00845DF9">
        <w:rPr>
          <w:rFonts w:ascii="Arial" w:eastAsia="Times New Roman" w:hAnsi="Arial" w:cs="Arial"/>
          <w:sz w:val="28"/>
          <w:szCs w:val="28"/>
          <w:lang w:val="es-MX" w:eastAsia="es-ES"/>
        </w:rPr>
        <w:t>______________________                  ____________________</w:t>
      </w:r>
    </w:p>
    <w:p w:rsidR="00845DF9" w:rsidRDefault="00845DF9" w:rsidP="00845DF9">
      <w:pPr>
        <w:spacing w:after="0" w:line="360" w:lineRule="auto"/>
        <w:rPr>
          <w:rFonts w:ascii="Arial" w:eastAsia="Times New Roman" w:hAnsi="Arial" w:cs="Arial"/>
          <w:sz w:val="28"/>
          <w:szCs w:val="28"/>
          <w:lang w:val="es-MX" w:eastAsia="es-ES"/>
        </w:rPr>
      </w:pPr>
    </w:p>
    <w:p w:rsidR="00845DF9" w:rsidRPr="00845DF9" w:rsidRDefault="00845DF9" w:rsidP="00845DF9">
      <w:pPr>
        <w:spacing w:after="0" w:line="360" w:lineRule="auto"/>
        <w:rPr>
          <w:rFonts w:ascii="Arial" w:eastAsia="Times New Roman" w:hAnsi="Arial" w:cs="Arial"/>
          <w:sz w:val="28"/>
          <w:szCs w:val="28"/>
          <w:lang w:val="es-MX" w:eastAsia="es-ES"/>
        </w:rPr>
      </w:pPr>
    </w:p>
    <w:sectPr w:rsidR="00845DF9" w:rsidRPr="00845DF9" w:rsidSect="00B4015A">
      <w:headerReference w:type="default" r:id="rId13"/>
      <w:footerReference w:type="default" r:id="rId14"/>
      <w:pgSz w:w="11906" w:h="16838"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DF9" w:rsidRDefault="00845DF9" w:rsidP="00B4015A">
      <w:pPr>
        <w:spacing w:after="0" w:line="240" w:lineRule="auto"/>
      </w:pPr>
      <w:r>
        <w:separator/>
      </w:r>
    </w:p>
  </w:endnote>
  <w:endnote w:type="continuationSeparator" w:id="0">
    <w:p w:rsidR="00845DF9" w:rsidRDefault="00845DF9" w:rsidP="00B4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15A" w:rsidRPr="008E199A" w:rsidRDefault="00B4015A" w:rsidP="00B4015A">
    <w:pPr>
      <w:pStyle w:val="Ttulo4"/>
      <w:rPr>
        <w:rFonts w:ascii="Gill Sans MT" w:hAnsi="Gill Sans MT"/>
        <w:sz w:val="20"/>
        <w:szCs w:val="20"/>
      </w:rPr>
    </w:pPr>
    <w:r>
      <w:rPr>
        <w:rFonts w:ascii="Gill Sans MT" w:hAnsi="Gill Sans MT"/>
        <w:color w:val="948A54"/>
        <w:sz w:val="20"/>
        <w:szCs w:val="20"/>
      </w:rPr>
      <w:t>AQUÍ</w:t>
    </w:r>
    <w:r w:rsidRPr="008E199A">
      <w:rPr>
        <w:rFonts w:ascii="Gill Sans MT" w:hAnsi="Gill Sans MT"/>
        <w:color w:val="948A54"/>
        <w:sz w:val="20"/>
        <w:szCs w:val="20"/>
      </w:rPr>
      <w:t xml:space="preserve"> VIVE LA DEMOCRACIA</w:t>
    </w:r>
  </w:p>
  <w:p w:rsidR="00B4015A" w:rsidRPr="008E199A" w:rsidRDefault="00B4015A" w:rsidP="00B4015A">
    <w:pPr>
      <w:pStyle w:val="Piedepgina"/>
      <w:jc w:val="center"/>
      <w:rPr>
        <w:sz w:val="20"/>
        <w:szCs w:val="20"/>
      </w:rPr>
    </w:pPr>
    <w:r w:rsidRPr="008E199A">
      <w:rPr>
        <w:noProof/>
        <w:sz w:val="20"/>
        <w:szCs w:val="20"/>
        <w:lang w:eastAsia="es-ES"/>
      </w:rPr>
      <mc:AlternateContent>
        <mc:Choice Requires="wps">
          <w:drawing>
            <wp:anchor distT="0" distB="0" distL="114300" distR="114300" simplePos="0" relativeHeight="251662336" behindDoc="0" locked="0" layoutInCell="1" allowOverlap="1" wp14:anchorId="763895F1" wp14:editId="73DD2473">
              <wp:simplePos x="0" y="0"/>
              <wp:positionH relativeFrom="column">
                <wp:posOffset>3603625</wp:posOffset>
              </wp:positionH>
              <wp:positionV relativeFrom="paragraph">
                <wp:posOffset>58420</wp:posOffset>
              </wp:positionV>
              <wp:extent cx="720090" cy="0"/>
              <wp:effectExtent l="31750" t="29845" r="29210" b="3683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83.75pt;margin-top:4.6pt;width:56.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" strokecolor="red" strokeweight="4.5pt"/>
          </w:pict>
        </mc:Fallback>
      </mc:AlternateContent>
    </w:r>
    <w:r w:rsidRPr="008E199A">
      <w:rPr>
        <w:noProof/>
        <w:sz w:val="20"/>
        <w:szCs w:val="20"/>
        <w:lang w:eastAsia="es-ES"/>
      </w:rPr>
      <mc:AlternateContent>
        <mc:Choice Requires="wps">
          <w:drawing>
            <wp:anchor distT="0" distB="0" distL="114300" distR="114300" simplePos="0" relativeHeight="251663360" behindDoc="0" locked="0" layoutInCell="1" allowOverlap="1" wp14:anchorId="05CC512F" wp14:editId="0A531FDD">
              <wp:simplePos x="0" y="0"/>
              <wp:positionH relativeFrom="column">
                <wp:posOffset>2884805</wp:posOffset>
              </wp:positionH>
              <wp:positionV relativeFrom="paragraph">
                <wp:posOffset>59690</wp:posOffset>
              </wp:positionV>
              <wp:extent cx="720090" cy="0"/>
              <wp:effectExtent l="36830" t="31115" r="33655" b="3556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571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27.15pt;margin-top:4.7pt;width:56.7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" strokecolor="#548dd4" strokeweight="4.5pt"/>
          </w:pict>
        </mc:Fallback>
      </mc:AlternateContent>
    </w:r>
    <w:r w:rsidRPr="008E199A">
      <w:rPr>
        <w:noProof/>
        <w:sz w:val="20"/>
        <w:szCs w:val="20"/>
        <w:lang w:eastAsia="es-ES"/>
      </w:rPr>
      <mc:AlternateContent>
        <mc:Choice Requires="wps">
          <w:drawing>
            <wp:anchor distT="0" distB="0" distL="114300" distR="114300" simplePos="0" relativeHeight="251661312" behindDoc="0" locked="0" layoutInCell="1" allowOverlap="1" wp14:anchorId="31FA2612" wp14:editId="649350A3">
              <wp:simplePos x="0" y="0"/>
              <wp:positionH relativeFrom="column">
                <wp:posOffset>1442085</wp:posOffset>
              </wp:positionH>
              <wp:positionV relativeFrom="paragraph">
                <wp:posOffset>57150</wp:posOffset>
              </wp:positionV>
              <wp:extent cx="1440180" cy="0"/>
              <wp:effectExtent l="32385" t="28575" r="32385" b="2857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13.55pt;margin-top:4.5pt;width:113.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" strokecolor="yellow" strokeweight="4.5pt"/>
          </w:pict>
        </mc:Fallback>
      </mc:AlternateContent>
    </w:r>
  </w:p>
  <w:p w:rsidR="00B4015A" w:rsidRPr="008E199A" w:rsidRDefault="00B4015A" w:rsidP="00B4015A">
    <w:pPr>
      <w:pStyle w:val="Piedepgina"/>
      <w:jc w:val="center"/>
      <w:rPr>
        <w:rFonts w:ascii="Gill Sans MT" w:hAnsi="Gill Sans MT" w:cs="Arial"/>
        <w:b/>
        <w:sz w:val="20"/>
        <w:szCs w:val="20"/>
      </w:rPr>
    </w:pPr>
    <w:r w:rsidRPr="008E199A">
      <w:rPr>
        <w:rFonts w:ascii="Gill Sans MT" w:hAnsi="Gill Sans MT" w:cs="Arial"/>
        <w:b/>
        <w:sz w:val="20"/>
        <w:szCs w:val="20"/>
      </w:rPr>
      <w:t>Edificio Nuevo del Congreso Cra. 7 No. 8-68 Oficina: 704</w:t>
    </w:r>
  </w:p>
  <w:p w:rsidR="00B4015A" w:rsidRPr="008E199A" w:rsidRDefault="00B4015A" w:rsidP="00B4015A">
    <w:pPr>
      <w:pStyle w:val="Piedepgina"/>
      <w:jc w:val="center"/>
      <w:rPr>
        <w:rFonts w:ascii="Gill Sans MT" w:hAnsi="Gill Sans MT" w:cs="Arial"/>
        <w:b/>
        <w:sz w:val="20"/>
        <w:szCs w:val="20"/>
      </w:rPr>
    </w:pPr>
    <w:r w:rsidRPr="008E199A">
      <w:rPr>
        <w:rFonts w:ascii="Gill Sans MT" w:hAnsi="Gill Sans MT" w:cs="Arial"/>
        <w:b/>
        <w:sz w:val="20"/>
        <w:szCs w:val="20"/>
      </w:rPr>
      <w:t xml:space="preserve">Tel. 3823689- Fax. 3823688 </w:t>
    </w:r>
  </w:p>
  <w:p w:rsidR="00B4015A" w:rsidRDefault="00B4015A" w:rsidP="00B4015A">
    <w:pPr>
      <w:pStyle w:val="Piedepgina"/>
    </w:pPr>
  </w:p>
  <w:p w:rsidR="00B4015A" w:rsidRDefault="00B401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DF9" w:rsidRDefault="00845DF9" w:rsidP="00B4015A">
      <w:pPr>
        <w:spacing w:after="0" w:line="240" w:lineRule="auto"/>
      </w:pPr>
      <w:r>
        <w:separator/>
      </w:r>
    </w:p>
  </w:footnote>
  <w:footnote w:type="continuationSeparator" w:id="0">
    <w:p w:rsidR="00845DF9" w:rsidRDefault="00845DF9" w:rsidP="00B4015A">
      <w:pPr>
        <w:spacing w:after="0" w:line="240" w:lineRule="auto"/>
      </w:pPr>
      <w:r>
        <w:continuationSeparator/>
      </w:r>
    </w:p>
  </w:footnote>
  <w:footnote w:id="1">
    <w:p w:rsidR="00845DF9" w:rsidRPr="000C34B3" w:rsidRDefault="00845DF9" w:rsidP="00845DF9">
      <w:pPr>
        <w:pStyle w:val="Textonotapie"/>
        <w:jc w:val="both"/>
        <w:rPr>
          <w:rFonts w:ascii="Arial" w:hAnsi="Arial" w:cs="Arial"/>
          <w:i/>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FELIPE CUBEROS (2012). Sociedades por Acciones Simplificadas, novedades, aciertos y desaciertos. Edit. Universidad Javeriana, Ibáñez y Grupo Bancolombia. Pág. 27. “</w:t>
      </w:r>
      <w:r w:rsidRPr="000C34B3">
        <w:rPr>
          <w:rFonts w:ascii="Arial" w:hAnsi="Arial" w:cs="Arial"/>
          <w:i/>
          <w:sz w:val="18"/>
          <w:szCs w:val="18"/>
        </w:rPr>
        <w:t>Datos tomados del estudio denominado “Perfil económico y jurídico de las S.A.S en su primer año”, publicado por la Cámara de Comercio de Bogotá”</w:t>
      </w:r>
    </w:p>
  </w:footnote>
  <w:footnote w:id="2">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Código de Comercio. Decreto 410 de 1971. Artículo 172. </w:t>
      </w:r>
    </w:p>
  </w:footnote>
  <w:footnote w:id="3">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Toando de : http://www.supersociedades.gov.co/Web/documentos/FUSION%20Y%20ESCISION-bethy%20e-.pdf</w:t>
      </w:r>
    </w:p>
  </w:footnote>
  <w:footnote w:id="4">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Ibídem.  </w:t>
      </w:r>
    </w:p>
  </w:footnote>
  <w:footnote w:id="5">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Congreso de la República. Ley 1258 de 2008. Por medio de la cual se crean las Sociedades por Acciones Simplificadas. D.O. 47194 de 5 de diciembre de 2008. Art. 33. </w:t>
      </w:r>
    </w:p>
  </w:footnote>
  <w:footnote w:id="6">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FELIPE CUBEROS (2012). Sociedades por Acciones Simplificadas, novedades, aciertos y desaciertos. Edit. Universidad Javeriana, Ibáñez y Grupo Bancolombia. </w:t>
      </w:r>
    </w:p>
  </w:footnote>
  <w:footnote w:id="7">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FELIPE CUBEROS (2012). Sociedades por Acciones Simplificadas, novedades, aciertos y desaciertos. Edit. Universidad Javeriana, Ibáñez y Grupo Bancolombia. Pág. 127</w:t>
      </w:r>
    </w:p>
  </w:footnote>
  <w:footnote w:id="8">
    <w:p w:rsidR="00845DF9" w:rsidRPr="000C34B3" w:rsidRDefault="00845DF9" w:rsidP="00845DF9">
      <w:pPr>
        <w:pStyle w:val="Textonotapie"/>
        <w:rPr>
          <w:rFonts w:ascii="Arial" w:hAnsi="Arial" w:cs="Arial"/>
          <w:sz w:val="18"/>
          <w:szCs w:val="18"/>
        </w:rPr>
      </w:pPr>
      <w:r w:rsidRPr="000C34B3">
        <w:rPr>
          <w:rStyle w:val="Refdenotaalpie"/>
          <w:rFonts w:ascii="Arial" w:hAnsi="Arial" w:cs="Arial"/>
          <w:sz w:val="18"/>
          <w:szCs w:val="18"/>
        </w:rPr>
        <w:footnoteRef/>
      </w:r>
      <w:r w:rsidRPr="000C34B3">
        <w:rPr>
          <w:rFonts w:ascii="Arial" w:hAnsi="Arial" w:cs="Arial"/>
          <w:sz w:val="18"/>
          <w:szCs w:val="18"/>
        </w:rPr>
        <w:t xml:space="preserve"> Código de Comercio. Decreto 410 de 1971. Artículo 172.</w:t>
      </w:r>
    </w:p>
  </w:footnote>
  <w:footnote w:id="9">
    <w:p w:rsidR="00845DF9" w:rsidRDefault="00845DF9" w:rsidP="00845DF9">
      <w:pPr>
        <w:pStyle w:val="Textonotapie"/>
      </w:pPr>
      <w:r w:rsidRPr="000C34B3">
        <w:rPr>
          <w:rStyle w:val="Refdenotaalpie"/>
          <w:rFonts w:ascii="Arial" w:hAnsi="Arial" w:cs="Arial"/>
          <w:sz w:val="18"/>
          <w:szCs w:val="18"/>
        </w:rPr>
        <w:footnoteRef/>
      </w:r>
      <w:r w:rsidRPr="000C34B3">
        <w:rPr>
          <w:rFonts w:ascii="Arial" w:hAnsi="Arial" w:cs="Arial"/>
          <w:sz w:val="18"/>
          <w:szCs w:val="18"/>
        </w:rPr>
        <w:t xml:space="preserve"> FELIPE CUBEROS (2012). Sociedades por Acciones Simplificadas, novedades, aciertos y desaciertos. Edit. Universidad Javeriana, Ibáñez y Grupo Bancolombia.</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15A" w:rsidRDefault="00B4015A" w:rsidP="00B4015A">
    <w:pPr>
      <w:pStyle w:val="Encabezado"/>
    </w:pPr>
  </w:p>
  <w:p w:rsidR="00B4015A" w:rsidRDefault="00B4015A" w:rsidP="00B4015A">
    <w:pPr>
      <w:pStyle w:val="Encabezado"/>
    </w:pPr>
  </w:p>
  <w:p w:rsidR="00B4015A" w:rsidRDefault="00B4015A" w:rsidP="00B4015A">
    <w:pPr>
      <w:pStyle w:val="Encabezado"/>
    </w:pPr>
    <w:r w:rsidRPr="000D48A2">
      <w:rPr>
        <w:rFonts w:ascii="Times New Roman" w:eastAsia="Times New Roman" w:hAnsi="Times New Roman" w:cs="Times New Roman"/>
        <w:noProof/>
        <w:szCs w:val="20"/>
        <w:lang w:eastAsia="es-ES"/>
      </w:rPr>
      <w:drawing>
        <wp:anchor distT="0" distB="0" distL="114300" distR="114300" simplePos="0" relativeHeight="251659264" behindDoc="0" locked="0" layoutInCell="1" allowOverlap="1" wp14:anchorId="454092FB" wp14:editId="595392EE">
          <wp:simplePos x="0" y="0"/>
          <wp:positionH relativeFrom="column">
            <wp:posOffset>1438910</wp:posOffset>
          </wp:positionH>
          <wp:positionV relativeFrom="paragraph">
            <wp:posOffset>-320040</wp:posOffset>
          </wp:positionV>
          <wp:extent cx="2603500" cy="774700"/>
          <wp:effectExtent l="0" t="0" r="6350" b="635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015A" w:rsidRDefault="00B4015A" w:rsidP="00B4015A">
    <w:pPr>
      <w:pStyle w:val="Encabezado"/>
    </w:pPr>
  </w:p>
  <w:p w:rsidR="00B4015A" w:rsidRDefault="00B4015A" w:rsidP="00B4015A">
    <w:pPr>
      <w:pStyle w:val="Encabezado"/>
    </w:pPr>
  </w:p>
  <w:p w:rsidR="00B4015A" w:rsidRPr="0094090D" w:rsidRDefault="00B4015A" w:rsidP="00B4015A">
    <w:pPr>
      <w:pStyle w:val="Encabezado"/>
      <w:jc w:val="center"/>
      <w:rPr>
        <w:rFonts w:ascii="Gill Sans MT" w:hAnsi="Gill Sans MT"/>
        <w:b/>
      </w:rPr>
    </w:pPr>
    <w:r w:rsidRPr="0094090D">
      <w:rPr>
        <w:rFonts w:ascii="Gill Sans MT" w:hAnsi="Gill Sans MT"/>
        <w:b/>
      </w:rPr>
      <w:t>Honorable Senadora Rosmery Martínez Rosales</w:t>
    </w:r>
  </w:p>
  <w:p w:rsidR="00B4015A" w:rsidRDefault="00B4015A" w:rsidP="00B4015A">
    <w:pPr>
      <w:pStyle w:val="Encabezado"/>
    </w:pPr>
  </w:p>
  <w:p w:rsidR="00B4015A" w:rsidRDefault="00B4015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E2A7B"/>
    <w:multiLevelType w:val="hybridMultilevel"/>
    <w:tmpl w:val="50D44D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DF9"/>
    <w:rsid w:val="00072655"/>
    <w:rsid w:val="007F405D"/>
    <w:rsid w:val="00845DF9"/>
    <w:rsid w:val="00B4015A"/>
    <w:rsid w:val="00CE57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next w:val="Normal"/>
    <w:link w:val="Ttulo4Car"/>
    <w:uiPriority w:val="99"/>
    <w:qFormat/>
    <w:rsid w:val="00B4015A"/>
    <w:pPr>
      <w:keepNext/>
      <w:spacing w:after="0" w:line="240" w:lineRule="auto"/>
      <w:jc w:val="center"/>
      <w:outlineLvl w:val="3"/>
    </w:pPr>
    <w:rPr>
      <w:rFonts w:ascii="Arial" w:eastAsia="Times New Roman" w:hAnsi="Arial" w:cs="Arial"/>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01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015A"/>
  </w:style>
  <w:style w:type="paragraph" w:styleId="Piedepgina">
    <w:name w:val="footer"/>
    <w:basedOn w:val="Normal"/>
    <w:link w:val="PiedepginaCar"/>
    <w:uiPriority w:val="99"/>
    <w:unhideWhenUsed/>
    <w:rsid w:val="00B401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015A"/>
  </w:style>
  <w:style w:type="character" w:customStyle="1" w:styleId="Ttulo4Car">
    <w:name w:val="Título 4 Car"/>
    <w:basedOn w:val="Fuentedeprrafopredeter"/>
    <w:link w:val="Ttulo4"/>
    <w:uiPriority w:val="99"/>
    <w:rsid w:val="00B4015A"/>
    <w:rPr>
      <w:rFonts w:ascii="Arial" w:eastAsia="Times New Roman" w:hAnsi="Arial" w:cs="Arial"/>
      <w:b/>
      <w:bCs/>
      <w:sz w:val="24"/>
      <w:szCs w:val="24"/>
      <w:lang w:eastAsia="es-ES"/>
    </w:rPr>
  </w:style>
  <w:style w:type="paragraph" w:styleId="Textonotapie">
    <w:name w:val="footnote text"/>
    <w:basedOn w:val="Normal"/>
    <w:link w:val="TextonotapieCar"/>
    <w:uiPriority w:val="99"/>
    <w:semiHidden/>
    <w:unhideWhenUsed/>
    <w:rsid w:val="00845DF9"/>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845DF9"/>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845D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next w:val="Normal"/>
    <w:link w:val="Ttulo4Car"/>
    <w:uiPriority w:val="99"/>
    <w:qFormat/>
    <w:rsid w:val="00B4015A"/>
    <w:pPr>
      <w:keepNext/>
      <w:spacing w:after="0" w:line="240" w:lineRule="auto"/>
      <w:jc w:val="center"/>
      <w:outlineLvl w:val="3"/>
    </w:pPr>
    <w:rPr>
      <w:rFonts w:ascii="Arial" w:eastAsia="Times New Roman" w:hAnsi="Arial" w:cs="Arial"/>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01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015A"/>
  </w:style>
  <w:style w:type="paragraph" w:styleId="Piedepgina">
    <w:name w:val="footer"/>
    <w:basedOn w:val="Normal"/>
    <w:link w:val="PiedepginaCar"/>
    <w:uiPriority w:val="99"/>
    <w:unhideWhenUsed/>
    <w:rsid w:val="00B401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015A"/>
  </w:style>
  <w:style w:type="character" w:customStyle="1" w:styleId="Ttulo4Car">
    <w:name w:val="Título 4 Car"/>
    <w:basedOn w:val="Fuentedeprrafopredeter"/>
    <w:link w:val="Ttulo4"/>
    <w:uiPriority w:val="99"/>
    <w:rsid w:val="00B4015A"/>
    <w:rPr>
      <w:rFonts w:ascii="Arial" w:eastAsia="Times New Roman" w:hAnsi="Arial" w:cs="Arial"/>
      <w:b/>
      <w:bCs/>
      <w:sz w:val="24"/>
      <w:szCs w:val="24"/>
      <w:lang w:eastAsia="es-ES"/>
    </w:rPr>
  </w:style>
  <w:style w:type="paragraph" w:styleId="Textonotapie">
    <w:name w:val="footnote text"/>
    <w:basedOn w:val="Normal"/>
    <w:link w:val="TextonotapieCar"/>
    <w:uiPriority w:val="99"/>
    <w:semiHidden/>
    <w:unhideWhenUsed/>
    <w:rsid w:val="00845DF9"/>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845DF9"/>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845D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222_1995.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ecretariasenado.gov.co/senado/basedoc/ley_0222_199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ecretariasenado.gov.co/senado/basedoc/codigo_comercio_pr005.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ecretariasenado.gov.co/senado/basedoc/ley_0222_1995.html" TargetMode="External"/><Relationship Id="rId4" Type="http://schemas.openxmlformats.org/officeDocument/2006/relationships/settings" Target="settings.xml"/><Relationship Id="rId9" Type="http://schemas.openxmlformats.org/officeDocument/2006/relationships/hyperlink" Target="http://www.secretariasenado.gov.co/senado/basedoc/ley_0222_1995.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2586</Words>
  <Characters>14227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Alberto Hernandez Diaz</dc:creator>
  <cp:lastModifiedBy>Emilio Alberto Hernandez Diaz</cp:lastModifiedBy>
  <cp:revision>1</cp:revision>
  <cp:lastPrinted>2016-08-11T20:00:00Z</cp:lastPrinted>
  <dcterms:created xsi:type="dcterms:W3CDTF">2016-08-11T19:54:00Z</dcterms:created>
  <dcterms:modified xsi:type="dcterms:W3CDTF">2016-08-11T20:08:00Z</dcterms:modified>
</cp:coreProperties>
</file>