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FBC" w:rsidRPr="00AB3F5C" w:rsidRDefault="00140FBC" w:rsidP="004D1D17">
      <w:pPr>
        <w:shd w:val="clear" w:color="auto" w:fill="FFFFFF"/>
        <w:spacing w:after="0" w:line="360" w:lineRule="auto"/>
        <w:ind w:firstLine="708"/>
        <w:jc w:val="center"/>
        <w:rPr>
          <w:rFonts w:ascii="Times New Roman" w:eastAsia="Times New Roman" w:hAnsi="Times New Roman" w:cs="Times New Roman"/>
          <w:b/>
          <w:sz w:val="24"/>
          <w:szCs w:val="24"/>
          <w:lang w:eastAsia="es-CO"/>
        </w:rPr>
      </w:pPr>
      <w:bookmarkStart w:id="0" w:name="_GoBack"/>
      <w:bookmarkEnd w:id="0"/>
      <w:r w:rsidRPr="00AB3F5C">
        <w:rPr>
          <w:rFonts w:ascii="Times New Roman" w:eastAsia="Times New Roman" w:hAnsi="Times New Roman" w:cs="Times New Roman"/>
          <w:b/>
          <w:sz w:val="24"/>
          <w:szCs w:val="24"/>
          <w:lang w:eastAsia="es-CO"/>
        </w:rPr>
        <w:t xml:space="preserve">Ley  No.          </w:t>
      </w:r>
      <w:proofErr w:type="gramStart"/>
      <w:r w:rsidRPr="00AB3F5C">
        <w:rPr>
          <w:rFonts w:ascii="Times New Roman" w:eastAsia="Times New Roman" w:hAnsi="Times New Roman" w:cs="Times New Roman"/>
          <w:b/>
          <w:sz w:val="24"/>
          <w:szCs w:val="24"/>
          <w:lang w:eastAsia="es-CO"/>
        </w:rPr>
        <w:t>de</w:t>
      </w:r>
      <w:proofErr w:type="gramEnd"/>
      <w:r w:rsidRPr="00AB3F5C">
        <w:rPr>
          <w:rFonts w:ascii="Times New Roman" w:eastAsia="Times New Roman" w:hAnsi="Times New Roman" w:cs="Times New Roman"/>
          <w:b/>
          <w:sz w:val="24"/>
          <w:szCs w:val="24"/>
          <w:lang w:eastAsia="es-CO"/>
        </w:rPr>
        <w:t xml:space="preserve"> 2016 SENADO</w:t>
      </w:r>
    </w:p>
    <w:p w:rsidR="00140FBC" w:rsidRPr="00AB3F5C" w:rsidRDefault="00140FBC" w:rsidP="004D1D17">
      <w:pPr>
        <w:shd w:val="clear" w:color="auto" w:fill="FFFFFF"/>
        <w:spacing w:after="0" w:line="360" w:lineRule="auto"/>
        <w:jc w:val="center"/>
        <w:rPr>
          <w:rFonts w:ascii="Times New Roman" w:eastAsia="Times New Roman" w:hAnsi="Times New Roman" w:cs="Times New Roman"/>
          <w:sz w:val="24"/>
          <w:szCs w:val="24"/>
          <w:lang w:eastAsia="es-CO"/>
        </w:rPr>
      </w:pPr>
      <w:r w:rsidRPr="00AB3F5C">
        <w:rPr>
          <w:rFonts w:ascii="Times New Roman" w:eastAsia="Times New Roman" w:hAnsi="Times New Roman" w:cs="Times New Roman"/>
          <w:sz w:val="24"/>
          <w:szCs w:val="24"/>
          <w:lang w:eastAsia="es-CO"/>
        </w:rPr>
        <w:t> </w:t>
      </w: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i/>
          <w:sz w:val="24"/>
          <w:szCs w:val="24"/>
          <w:lang w:eastAsia="es-CO"/>
        </w:rPr>
      </w:pPr>
      <w:r w:rsidRPr="00AB3F5C">
        <w:rPr>
          <w:rFonts w:ascii="Times New Roman" w:eastAsia="Times New Roman" w:hAnsi="Times New Roman" w:cs="Times New Roman"/>
          <w:b/>
          <w:bCs/>
          <w:i/>
          <w:sz w:val="24"/>
          <w:szCs w:val="24"/>
          <w:lang w:eastAsia="es-CO"/>
        </w:rPr>
        <w:t>Por la cual se modifica el régimen de Seguridad Social de los Educadores</w:t>
      </w:r>
    </w:p>
    <w:p w:rsidR="00140FBC" w:rsidRPr="00AB3F5C" w:rsidRDefault="00140FBC" w:rsidP="004D1D17">
      <w:pPr>
        <w:shd w:val="clear" w:color="auto" w:fill="FFFFFF"/>
        <w:spacing w:after="0" w:line="360" w:lineRule="auto"/>
        <w:rPr>
          <w:rFonts w:ascii="Times New Roman" w:eastAsia="Times New Roman" w:hAnsi="Times New Roman" w:cs="Times New Roman"/>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r w:rsidRPr="00AB3F5C">
        <w:rPr>
          <w:rFonts w:ascii="Times New Roman" w:eastAsia="Times New Roman" w:hAnsi="Times New Roman" w:cs="Times New Roman"/>
          <w:b/>
          <w:bCs/>
          <w:sz w:val="24"/>
          <w:szCs w:val="24"/>
          <w:lang w:eastAsia="es-CO"/>
        </w:rPr>
        <w:t>El Congreso de Colombia</w:t>
      </w:r>
    </w:p>
    <w:p w:rsidR="00140FBC" w:rsidRPr="00AB3F5C" w:rsidRDefault="00140FBC" w:rsidP="004D1D17">
      <w:pPr>
        <w:shd w:val="clear" w:color="auto" w:fill="FFFFFF"/>
        <w:spacing w:after="0" w:line="360" w:lineRule="auto"/>
        <w:jc w:val="center"/>
        <w:rPr>
          <w:rFonts w:ascii="Times New Roman" w:eastAsia="Times New Roman" w:hAnsi="Times New Roman" w:cs="Times New Roman"/>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r w:rsidRPr="00AB3F5C">
        <w:rPr>
          <w:rFonts w:ascii="Times New Roman" w:eastAsia="Times New Roman" w:hAnsi="Times New Roman" w:cs="Times New Roman"/>
          <w:b/>
          <w:bCs/>
          <w:sz w:val="24"/>
          <w:szCs w:val="24"/>
          <w:lang w:eastAsia="es-CO"/>
        </w:rPr>
        <w:t>DECRETA:</w:t>
      </w:r>
    </w:p>
    <w:p w:rsidR="00140FBC" w:rsidRPr="00AB3F5C" w:rsidRDefault="00140FBC" w:rsidP="004D1D17">
      <w:pPr>
        <w:shd w:val="clear" w:color="auto" w:fill="FFFFFF"/>
        <w:spacing w:after="0" w:line="360" w:lineRule="auto"/>
        <w:jc w:val="both"/>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jc w:val="both"/>
        <w:rPr>
          <w:rFonts w:ascii="Times New Roman" w:eastAsia="Times New Roman" w:hAnsi="Times New Roman" w:cs="Times New Roman"/>
          <w:bCs/>
          <w:sz w:val="24"/>
          <w:szCs w:val="24"/>
          <w:lang w:eastAsia="es-CO"/>
        </w:rPr>
      </w:pPr>
      <w:r w:rsidRPr="00AB3F5C">
        <w:rPr>
          <w:rFonts w:ascii="Times New Roman" w:eastAsia="Times New Roman" w:hAnsi="Times New Roman" w:cs="Times New Roman"/>
          <w:b/>
          <w:bCs/>
          <w:sz w:val="24"/>
          <w:szCs w:val="24"/>
          <w:lang w:eastAsia="es-CO"/>
        </w:rPr>
        <w:t>Artículo 1º.</w:t>
      </w:r>
      <w:r w:rsidRPr="00AB3F5C">
        <w:rPr>
          <w:rFonts w:ascii="Times New Roman" w:eastAsia="Times New Roman" w:hAnsi="Times New Roman" w:cs="Times New Roman"/>
          <w:bCs/>
          <w:sz w:val="24"/>
          <w:szCs w:val="24"/>
          <w:lang w:eastAsia="es-CO"/>
        </w:rPr>
        <w:t xml:space="preserve"> </w:t>
      </w:r>
      <w:r w:rsidRPr="00AB3F5C">
        <w:rPr>
          <w:rFonts w:ascii="Times New Roman" w:eastAsia="Times New Roman" w:hAnsi="Times New Roman" w:cs="Times New Roman"/>
          <w:b/>
          <w:bCs/>
          <w:i/>
          <w:sz w:val="24"/>
          <w:szCs w:val="24"/>
          <w:lang w:eastAsia="es-CO"/>
        </w:rPr>
        <w:t>Ámbito de aplicación:</w:t>
      </w:r>
      <w:r w:rsidRPr="00AB3F5C">
        <w:rPr>
          <w:rFonts w:ascii="Times New Roman" w:eastAsia="Times New Roman" w:hAnsi="Times New Roman" w:cs="Times New Roman"/>
          <w:bCs/>
          <w:sz w:val="24"/>
          <w:szCs w:val="24"/>
          <w:lang w:eastAsia="es-CO"/>
        </w:rPr>
        <w:t xml:space="preserve"> Se consideran extensivos sus beneficios a todos los Docentes Nacionales Departamentales, Distritales y Municipales de Instituciones Educativas Oficiales que no sean de Educación Superior.</w:t>
      </w:r>
    </w:p>
    <w:p w:rsidR="00140FBC" w:rsidRPr="00AB3F5C" w:rsidRDefault="00140FBC" w:rsidP="004D1D17">
      <w:pPr>
        <w:shd w:val="clear" w:color="auto" w:fill="FFFFFF"/>
        <w:spacing w:after="0" w:line="360" w:lineRule="auto"/>
        <w:jc w:val="both"/>
        <w:rPr>
          <w:rFonts w:ascii="Times New Roman" w:eastAsia="Times New Roman" w:hAnsi="Times New Roman" w:cs="Times New Roman"/>
          <w:bCs/>
          <w:sz w:val="24"/>
          <w:szCs w:val="24"/>
          <w:lang w:eastAsia="es-CO"/>
        </w:rPr>
      </w:pPr>
    </w:p>
    <w:p w:rsidR="00140FBC" w:rsidRPr="00AB3F5C" w:rsidRDefault="00140FBC" w:rsidP="004D1D17">
      <w:pPr>
        <w:shd w:val="clear" w:color="auto" w:fill="FFFFFF"/>
        <w:spacing w:after="0" w:line="360" w:lineRule="auto"/>
        <w:jc w:val="both"/>
        <w:rPr>
          <w:rFonts w:ascii="Times New Roman" w:eastAsia="Times New Roman" w:hAnsi="Times New Roman" w:cs="Times New Roman"/>
          <w:bCs/>
          <w:sz w:val="24"/>
          <w:szCs w:val="24"/>
          <w:lang w:eastAsia="es-CO"/>
        </w:rPr>
      </w:pPr>
      <w:r w:rsidRPr="00AB3F5C">
        <w:rPr>
          <w:rFonts w:ascii="Times New Roman" w:eastAsia="Times New Roman" w:hAnsi="Times New Roman" w:cs="Times New Roman"/>
          <w:b/>
          <w:bCs/>
          <w:sz w:val="24"/>
          <w:szCs w:val="24"/>
          <w:lang w:eastAsia="es-CO"/>
        </w:rPr>
        <w:t>Artículo 2º.</w:t>
      </w:r>
      <w:r w:rsidRPr="00AB3F5C">
        <w:rPr>
          <w:rFonts w:ascii="Times New Roman" w:eastAsia="Times New Roman" w:hAnsi="Times New Roman" w:cs="Times New Roman"/>
          <w:bCs/>
          <w:sz w:val="24"/>
          <w:szCs w:val="24"/>
          <w:lang w:eastAsia="es-CO"/>
        </w:rPr>
        <w:t xml:space="preserve"> La base de cotización a salud de los Educadores Pensionados Activos, será únicamente la equivalente al salario mensual; de igual forma aquellos Educadores Pensionados Retirados, aportarán como base de cotización a salud el equivalente al 4% de una pensión cuando aquella no represente más de seis salarios mínimos legales mensuales vigentes.</w:t>
      </w:r>
    </w:p>
    <w:p w:rsidR="00140FBC" w:rsidRPr="00AB3F5C" w:rsidRDefault="00140FBC" w:rsidP="004D1D17">
      <w:pPr>
        <w:shd w:val="clear" w:color="auto" w:fill="FFFFFF"/>
        <w:spacing w:after="0" w:line="360" w:lineRule="auto"/>
        <w:jc w:val="both"/>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jc w:val="both"/>
        <w:rPr>
          <w:rFonts w:ascii="Times New Roman" w:eastAsia="Times New Roman" w:hAnsi="Times New Roman" w:cs="Times New Roman"/>
          <w:bCs/>
          <w:sz w:val="24"/>
          <w:szCs w:val="24"/>
          <w:lang w:eastAsia="es-CO"/>
        </w:rPr>
      </w:pPr>
      <w:r w:rsidRPr="00AB3F5C">
        <w:rPr>
          <w:rFonts w:ascii="Times New Roman" w:eastAsia="Times New Roman" w:hAnsi="Times New Roman" w:cs="Times New Roman"/>
          <w:b/>
          <w:bCs/>
          <w:sz w:val="24"/>
          <w:szCs w:val="24"/>
          <w:lang w:eastAsia="es-CO"/>
        </w:rPr>
        <w:t>Artículo 3</w:t>
      </w:r>
      <w:r w:rsidRPr="00AB3F5C">
        <w:rPr>
          <w:rFonts w:ascii="Times New Roman" w:eastAsia="Times New Roman" w:hAnsi="Times New Roman" w:cs="Times New Roman"/>
          <w:b/>
          <w:bCs/>
          <w:sz w:val="24"/>
          <w:szCs w:val="24"/>
          <w:vertAlign w:val="superscript"/>
          <w:lang w:eastAsia="es-CO"/>
        </w:rPr>
        <w:t>o</w:t>
      </w:r>
      <w:r w:rsidRPr="00AB3F5C">
        <w:rPr>
          <w:rFonts w:ascii="Times New Roman" w:eastAsia="Times New Roman" w:hAnsi="Times New Roman" w:cs="Times New Roman"/>
          <w:b/>
          <w:bCs/>
          <w:sz w:val="24"/>
          <w:szCs w:val="24"/>
          <w:lang w:eastAsia="es-CO"/>
        </w:rPr>
        <w:t xml:space="preserve">. </w:t>
      </w:r>
      <w:r w:rsidRPr="00AB3F5C">
        <w:rPr>
          <w:rFonts w:ascii="Times New Roman" w:eastAsia="Times New Roman" w:hAnsi="Times New Roman" w:cs="Times New Roman"/>
          <w:bCs/>
          <w:sz w:val="24"/>
          <w:szCs w:val="24"/>
          <w:lang w:eastAsia="es-CO"/>
        </w:rPr>
        <w:t xml:space="preserve">La presente ley rige a partir de su promulgación y deroga todas las disposiciones que le sean contrarias. </w:t>
      </w:r>
    </w:p>
    <w:p w:rsidR="00140FBC" w:rsidRPr="00AB3F5C" w:rsidRDefault="00140FBC" w:rsidP="004D1D17">
      <w:pPr>
        <w:shd w:val="clear" w:color="auto" w:fill="FFFFFF"/>
        <w:spacing w:after="0" w:line="360" w:lineRule="auto"/>
        <w:jc w:val="both"/>
        <w:rPr>
          <w:rFonts w:ascii="Times New Roman" w:eastAsia="Times New Roman" w:hAnsi="Times New Roman" w:cs="Times New Roman"/>
          <w:bCs/>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jc w:val="center"/>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rPr>
          <w:rFonts w:ascii="Times New Roman" w:eastAsia="Times New Roman" w:hAnsi="Times New Roman" w:cs="Times New Roman"/>
          <w:b/>
          <w:bCs/>
          <w:sz w:val="24"/>
          <w:szCs w:val="24"/>
          <w:lang w:eastAsia="es-CO"/>
        </w:rPr>
      </w:pPr>
    </w:p>
    <w:p w:rsidR="00140FBC" w:rsidRPr="00AB3F5C" w:rsidRDefault="00140FBC" w:rsidP="004D1D17">
      <w:pPr>
        <w:shd w:val="clear" w:color="auto" w:fill="FFFFFF"/>
        <w:spacing w:after="0" w:line="360" w:lineRule="auto"/>
        <w:rPr>
          <w:rFonts w:ascii="Times New Roman" w:eastAsia="Times New Roman" w:hAnsi="Times New Roman" w:cs="Times New Roman"/>
          <w:b/>
          <w:bCs/>
          <w:sz w:val="24"/>
          <w:szCs w:val="24"/>
          <w:lang w:eastAsia="es-CO"/>
        </w:rPr>
      </w:pPr>
    </w:p>
    <w:p w:rsidR="00140FBC" w:rsidRPr="00AB3F5C" w:rsidRDefault="00140FBC" w:rsidP="004D1D17">
      <w:pPr>
        <w:tabs>
          <w:tab w:val="left" w:pos="2552"/>
        </w:tabs>
        <w:spacing w:line="360" w:lineRule="auto"/>
        <w:jc w:val="center"/>
        <w:rPr>
          <w:rFonts w:ascii="Times New Roman" w:hAnsi="Times New Roman" w:cs="Times New Roman"/>
          <w:b/>
          <w:sz w:val="24"/>
          <w:szCs w:val="24"/>
        </w:rPr>
      </w:pPr>
      <w:r w:rsidRPr="00AB3F5C">
        <w:rPr>
          <w:rFonts w:ascii="Times New Roman" w:hAnsi="Times New Roman" w:cs="Times New Roman"/>
          <w:b/>
          <w:sz w:val="24"/>
          <w:szCs w:val="24"/>
        </w:rPr>
        <w:t>EXPOSICIÓN DE MOTIVOS</w:t>
      </w:r>
    </w:p>
    <w:p w:rsidR="00140FBC" w:rsidRPr="00AB3F5C" w:rsidRDefault="00140FBC" w:rsidP="004D1D17">
      <w:pPr>
        <w:tabs>
          <w:tab w:val="left" w:pos="2552"/>
        </w:tabs>
        <w:spacing w:line="360" w:lineRule="auto"/>
        <w:rPr>
          <w:rFonts w:ascii="Times New Roman" w:hAnsi="Times New Roman" w:cs="Times New Roman"/>
          <w:b/>
          <w:sz w:val="24"/>
          <w:szCs w:val="24"/>
        </w:rPr>
      </w:pPr>
      <w:r w:rsidRPr="00AB3F5C">
        <w:rPr>
          <w:rFonts w:ascii="Times New Roman" w:hAnsi="Times New Roman" w:cs="Times New Roman"/>
          <w:b/>
          <w:sz w:val="24"/>
          <w:szCs w:val="24"/>
        </w:rPr>
        <w:t xml:space="preserve">Honorables Congresistas. </w:t>
      </w:r>
    </w:p>
    <w:p w:rsidR="00140FBC" w:rsidRPr="00AB3F5C" w:rsidRDefault="00140FBC" w:rsidP="004D1D17">
      <w:pPr>
        <w:pStyle w:val="Prrafodelista"/>
        <w:numPr>
          <w:ilvl w:val="0"/>
          <w:numId w:val="1"/>
        </w:numPr>
        <w:spacing w:line="360" w:lineRule="auto"/>
        <w:jc w:val="both"/>
        <w:rPr>
          <w:rFonts w:ascii="Times New Roman" w:hAnsi="Times New Roman" w:cs="Times New Roman"/>
          <w:b/>
          <w:i/>
          <w:sz w:val="24"/>
          <w:szCs w:val="24"/>
        </w:rPr>
      </w:pPr>
      <w:r w:rsidRPr="00AB3F5C">
        <w:rPr>
          <w:rFonts w:ascii="Times New Roman" w:hAnsi="Times New Roman" w:cs="Times New Roman"/>
          <w:b/>
          <w:i/>
          <w:sz w:val="24"/>
          <w:szCs w:val="24"/>
        </w:rPr>
        <w:t>Objeto:</w:t>
      </w:r>
    </w:p>
    <w:p w:rsidR="00140FBC" w:rsidRPr="00AB3F5C" w:rsidRDefault="00140FBC" w:rsidP="004D1D17">
      <w:pPr>
        <w:spacing w:line="360" w:lineRule="auto"/>
        <w:jc w:val="both"/>
        <w:rPr>
          <w:rFonts w:ascii="Times New Roman" w:hAnsi="Times New Roman" w:cs="Times New Roman"/>
          <w:sz w:val="24"/>
          <w:szCs w:val="24"/>
        </w:rPr>
      </w:pPr>
      <w:r w:rsidRPr="00AB3F5C">
        <w:rPr>
          <w:rFonts w:ascii="Times New Roman" w:hAnsi="Times New Roman" w:cs="Times New Roman"/>
          <w:sz w:val="24"/>
          <w:szCs w:val="24"/>
        </w:rPr>
        <w:t>La presente iniciativa legislativa, tiene como objetivo establecer claramente el derecho a la igualdad, real y efectiva que se predica tanto en la Constitución Nacional de 1991 como en los tratados internacionales ratificados por Colombia en materia de derechos humanos.</w:t>
      </w: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r w:rsidRPr="00AB3F5C">
        <w:rPr>
          <w:rFonts w:ascii="Times New Roman" w:hAnsi="Times New Roman" w:cs="Times New Roman"/>
          <w:sz w:val="24"/>
          <w:szCs w:val="24"/>
        </w:rPr>
        <w:t xml:space="preserve">En esa medida, este proyecto de ley, busca inexorablemente que el tratamiento que se le da a los trabajadores sea integralmente compatible con el que se le da a la población en condición de pensionado,  en este caso los docentes, ya que, es un </w:t>
      </w:r>
      <w:r w:rsidRPr="00AB3F5C">
        <w:rPr>
          <w:rFonts w:ascii="Times New Roman" w:eastAsia="Times New Roman" w:hAnsi="Times New Roman" w:cs="Times New Roman"/>
          <w:sz w:val="24"/>
          <w:szCs w:val="24"/>
          <w:lang w:eastAsia="es-CO"/>
        </w:rPr>
        <w:t xml:space="preserve">caso dramático el que sufren los aquellos, a quienes se les descuenta el 12% de sus ingresos como aporte para salud. Debería entenderse que este sector ya cumplió durante muchos años con la cotización obligatoria, que en sus primeros años cotizó suficiente y su siniestralidad fue muy baja, que ya cotizó para disfrutar cuando sus riesgos aumentan y que merece vivir dignamente en igualdad de condiciones en lo que resta de su vida. </w:t>
      </w: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r w:rsidRPr="00AB3F5C">
        <w:rPr>
          <w:rFonts w:ascii="Times New Roman" w:eastAsia="Times New Roman" w:hAnsi="Times New Roman" w:cs="Times New Roman"/>
          <w:sz w:val="24"/>
          <w:szCs w:val="24"/>
          <w:lang w:eastAsia="es-CO"/>
        </w:rPr>
        <w:t>Es decir, desde el punto de vista técnico actuarial, la doble condición de haber llegado a determinada edad y haber cotizado determinada cantidad de semanas implica haber cubierto la eventual siniestralidad de los años de vida restante; de tal manera que el eventual desequilibrio entre la prima acumulada y el riesgo asumido, en líneas gruesas y generales, está a favor de las cotizaciones, porque la edad para jubilarse subió y la esperanza de vida en Colombia está muy lejana, por ejemplo, a la registrada en países desarrollados o de primer mundo.</w:t>
      </w: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p>
    <w:p w:rsidR="00140FBC" w:rsidRPr="00AB3F5C" w:rsidRDefault="00140FBC" w:rsidP="004D1D17">
      <w:pPr>
        <w:pStyle w:val="Prrafodelista"/>
        <w:numPr>
          <w:ilvl w:val="0"/>
          <w:numId w:val="1"/>
        </w:numPr>
        <w:shd w:val="clear" w:color="auto" w:fill="FFFFFF"/>
        <w:spacing w:after="0" w:line="360" w:lineRule="auto"/>
        <w:jc w:val="both"/>
        <w:rPr>
          <w:rFonts w:ascii="Times New Roman" w:eastAsia="Times New Roman" w:hAnsi="Times New Roman" w:cs="Times New Roman"/>
          <w:sz w:val="24"/>
          <w:szCs w:val="24"/>
          <w:lang w:eastAsia="es-CO"/>
        </w:rPr>
      </w:pPr>
      <w:r w:rsidRPr="00AB3F5C">
        <w:rPr>
          <w:rFonts w:ascii="Times New Roman" w:eastAsia="Times New Roman" w:hAnsi="Times New Roman" w:cs="Times New Roman"/>
          <w:b/>
          <w:i/>
          <w:sz w:val="24"/>
          <w:szCs w:val="24"/>
          <w:lang w:eastAsia="es-CO"/>
        </w:rPr>
        <w:t>Antecedentes del  Proyecto de ley.</w:t>
      </w:r>
    </w:p>
    <w:p w:rsidR="00140FBC" w:rsidRPr="00AB3F5C" w:rsidRDefault="00140FBC" w:rsidP="004D1D17">
      <w:pPr>
        <w:shd w:val="clear" w:color="auto" w:fill="FFFFFF"/>
        <w:spacing w:after="0" w:line="360" w:lineRule="auto"/>
        <w:jc w:val="both"/>
        <w:rPr>
          <w:rFonts w:ascii="Times New Roman" w:eastAsia="Times New Roman" w:hAnsi="Times New Roman" w:cs="Times New Roman"/>
          <w:sz w:val="24"/>
          <w:szCs w:val="24"/>
          <w:lang w:eastAsia="es-CO"/>
        </w:rPr>
      </w:pPr>
    </w:p>
    <w:p w:rsidR="00140FBC" w:rsidRPr="00AB3F5C" w:rsidRDefault="00140FBC" w:rsidP="004D1D17">
      <w:pPr>
        <w:pStyle w:val="Prrafodelista"/>
        <w:numPr>
          <w:ilvl w:val="0"/>
          <w:numId w:val="2"/>
        </w:numPr>
        <w:shd w:val="clear" w:color="auto" w:fill="FFFFFF"/>
        <w:spacing w:after="0" w:line="360" w:lineRule="auto"/>
        <w:jc w:val="both"/>
        <w:rPr>
          <w:rFonts w:ascii="Times New Roman" w:eastAsia="Times New Roman" w:hAnsi="Times New Roman" w:cs="Times New Roman"/>
          <w:sz w:val="24"/>
          <w:szCs w:val="24"/>
          <w:lang w:eastAsia="es-CO"/>
        </w:rPr>
      </w:pPr>
      <w:r w:rsidRPr="00AB3F5C">
        <w:rPr>
          <w:rStyle w:val="Textoennegrita"/>
          <w:rFonts w:ascii="Times New Roman" w:hAnsi="Times New Roman" w:cs="Times New Roman"/>
          <w:sz w:val="24"/>
          <w:szCs w:val="24"/>
          <w:lang w:val="es-ES"/>
        </w:rPr>
        <w:t xml:space="preserve">Proyecto de ley 183 de 2013 Cámara, </w:t>
      </w:r>
      <w:r w:rsidRPr="00AB3F5C">
        <w:rPr>
          <w:rFonts w:ascii="Times New Roman" w:hAnsi="Times New Roman" w:cs="Times New Roman"/>
          <w:sz w:val="24"/>
          <w:szCs w:val="24"/>
        </w:rPr>
        <w:t xml:space="preserve">de iniciativa </w:t>
      </w:r>
      <w:proofErr w:type="spellStart"/>
      <w:r w:rsidRPr="00AB3F5C">
        <w:rPr>
          <w:rFonts w:ascii="Times New Roman" w:hAnsi="Times New Roman" w:cs="Times New Roman"/>
          <w:sz w:val="24"/>
          <w:szCs w:val="24"/>
        </w:rPr>
        <w:t>congresional</w:t>
      </w:r>
      <w:proofErr w:type="spellEnd"/>
      <w:r w:rsidRPr="00AB3F5C">
        <w:rPr>
          <w:rFonts w:ascii="Times New Roman" w:hAnsi="Times New Roman" w:cs="Times New Roman"/>
          <w:sz w:val="24"/>
          <w:szCs w:val="24"/>
        </w:rPr>
        <w:t xml:space="preserve">, fue puesto a consideración del Congreso de la República por el entonces Honorable Representante Ángel Custodio Cabrera Báez, y radicado el día 7 de febrero de 2014 ante el Secretario General de la Cámara de Representantes. </w:t>
      </w:r>
    </w:p>
    <w:p w:rsidR="00140FBC" w:rsidRPr="00AB3F5C" w:rsidRDefault="00140FBC" w:rsidP="004D1D17">
      <w:pPr>
        <w:pStyle w:val="Prrafodelista"/>
        <w:shd w:val="clear" w:color="auto" w:fill="FFFFFF"/>
        <w:spacing w:after="0" w:line="360" w:lineRule="auto"/>
        <w:jc w:val="both"/>
        <w:rPr>
          <w:rFonts w:ascii="Times New Roman" w:hAnsi="Times New Roman" w:cs="Times New Roman"/>
          <w:sz w:val="24"/>
          <w:szCs w:val="24"/>
          <w:lang w:val="es-ES"/>
        </w:rPr>
      </w:pPr>
    </w:p>
    <w:p w:rsidR="00140FBC" w:rsidRPr="00AB3F5C" w:rsidRDefault="00140FBC" w:rsidP="004D1D17">
      <w:pPr>
        <w:pStyle w:val="Prrafodelista"/>
        <w:shd w:val="clear" w:color="auto" w:fill="FFFFFF"/>
        <w:spacing w:after="0" w:line="360" w:lineRule="auto"/>
        <w:jc w:val="both"/>
        <w:rPr>
          <w:rStyle w:val="Textoennegrita"/>
          <w:rFonts w:ascii="Times New Roman" w:eastAsia="Times New Roman" w:hAnsi="Times New Roman" w:cs="Times New Roman"/>
          <w:b w:val="0"/>
          <w:bCs w:val="0"/>
          <w:sz w:val="24"/>
          <w:szCs w:val="24"/>
          <w:lang w:eastAsia="es-CO"/>
        </w:rPr>
      </w:pPr>
      <w:r w:rsidRPr="00AB3F5C">
        <w:rPr>
          <w:rFonts w:ascii="Times New Roman" w:hAnsi="Times New Roman" w:cs="Times New Roman"/>
          <w:sz w:val="24"/>
          <w:szCs w:val="24"/>
          <w:lang w:val="es-ES"/>
        </w:rPr>
        <w:t xml:space="preserve">El objetivo de la iniciativa,  era disminuir el aporte al Sistema de </w:t>
      </w:r>
      <w:hyperlink r:id="rId8" w:history="1">
        <w:r w:rsidRPr="00AB3F5C">
          <w:rPr>
            <w:rStyle w:val="Hipervnculo"/>
            <w:rFonts w:ascii="Times New Roman" w:hAnsi="Times New Roman" w:cs="Times New Roman"/>
            <w:color w:val="auto"/>
            <w:sz w:val="24"/>
            <w:szCs w:val="24"/>
            <w:lang w:val="es-ES"/>
          </w:rPr>
          <w:t>Seguridad Social</w:t>
        </w:r>
      </w:hyperlink>
      <w:r w:rsidRPr="00AB3F5C">
        <w:rPr>
          <w:rFonts w:ascii="Times New Roman" w:hAnsi="Times New Roman" w:cs="Times New Roman"/>
          <w:sz w:val="24"/>
          <w:szCs w:val="24"/>
          <w:lang w:val="es-ES"/>
        </w:rPr>
        <w:t xml:space="preserve"> en Salud del 12% al 4% que realizan los pensionados de Colombia,</w:t>
      </w:r>
      <w:r w:rsidRPr="00AB3F5C">
        <w:rPr>
          <w:rStyle w:val="nfasis"/>
          <w:rFonts w:ascii="Times New Roman" w:hAnsi="Times New Roman" w:cs="Times New Roman"/>
          <w:sz w:val="24"/>
          <w:szCs w:val="24"/>
          <w:lang w:val="es-ES"/>
        </w:rPr>
        <w:t xml:space="preserve"> “como un acto de justicia con esta población objeto de especial protección, quienes ven reducido su ingreso disponible mensual por efectos de esta contribución, la cual afecta directamente los derechos al mínimo vital y condiciones de dignidad y calidad de vida en la vejez”·</w:t>
      </w:r>
    </w:p>
    <w:p w:rsidR="00140FBC" w:rsidRPr="00AB3F5C" w:rsidRDefault="00140FBC" w:rsidP="004D1D17">
      <w:pPr>
        <w:pStyle w:val="Prrafodelista"/>
        <w:shd w:val="clear" w:color="auto" w:fill="FFFFFF"/>
        <w:spacing w:after="0" w:line="360" w:lineRule="auto"/>
        <w:jc w:val="both"/>
        <w:rPr>
          <w:rStyle w:val="Textoennegrita"/>
          <w:rFonts w:ascii="Times New Roman" w:hAnsi="Times New Roman" w:cs="Times New Roman"/>
          <w:sz w:val="24"/>
          <w:szCs w:val="24"/>
          <w:lang w:val="es-ES"/>
        </w:rPr>
      </w:pPr>
    </w:p>
    <w:p w:rsidR="00140FBC" w:rsidRPr="00AB3F5C" w:rsidRDefault="00140FBC" w:rsidP="004D1D17">
      <w:pPr>
        <w:pStyle w:val="Prrafodelista"/>
        <w:shd w:val="clear" w:color="auto" w:fill="FFFFFF"/>
        <w:spacing w:after="0" w:line="360" w:lineRule="auto"/>
        <w:jc w:val="both"/>
        <w:rPr>
          <w:rStyle w:val="Textoennegrita"/>
          <w:rFonts w:ascii="Times New Roman" w:hAnsi="Times New Roman" w:cs="Times New Roman"/>
          <w:sz w:val="24"/>
          <w:szCs w:val="24"/>
          <w:lang w:val="es-ES"/>
        </w:rPr>
      </w:pPr>
      <w:r w:rsidRPr="00AB3F5C">
        <w:rPr>
          <w:rStyle w:val="Textoennegrita"/>
          <w:rFonts w:ascii="Times New Roman" w:hAnsi="Times New Roman" w:cs="Times New Roman"/>
          <w:sz w:val="24"/>
          <w:szCs w:val="24"/>
          <w:lang w:val="es-ES"/>
        </w:rPr>
        <w:t>Este proyecto de ley fue archivado tras haber sido rechazado por el ministerio de Hacienda aduciendo potencial afectación a la sostenibilidad fiscal y financiera del sistema de salud.</w:t>
      </w:r>
    </w:p>
    <w:p w:rsidR="00140FBC" w:rsidRPr="00AB3F5C" w:rsidRDefault="00140FBC" w:rsidP="004D1D17">
      <w:pPr>
        <w:shd w:val="clear" w:color="auto" w:fill="FFFFFF"/>
        <w:spacing w:after="0" w:line="360" w:lineRule="auto"/>
        <w:jc w:val="both"/>
        <w:rPr>
          <w:rStyle w:val="Textoennegrita"/>
          <w:rFonts w:ascii="Times New Roman" w:hAnsi="Times New Roman" w:cs="Times New Roman"/>
          <w:b w:val="0"/>
          <w:sz w:val="24"/>
          <w:szCs w:val="24"/>
          <w:lang w:val="es-ES"/>
        </w:rPr>
      </w:pPr>
    </w:p>
    <w:p w:rsidR="00140FBC" w:rsidRPr="00AB3F5C" w:rsidRDefault="00140FBC" w:rsidP="004D1D17">
      <w:pPr>
        <w:pStyle w:val="Prrafodelista"/>
        <w:numPr>
          <w:ilvl w:val="0"/>
          <w:numId w:val="2"/>
        </w:numPr>
        <w:shd w:val="clear" w:color="auto" w:fill="FFFFFF"/>
        <w:spacing w:after="0" w:line="360" w:lineRule="auto"/>
        <w:jc w:val="both"/>
        <w:rPr>
          <w:rStyle w:val="Textoennegrita"/>
          <w:rFonts w:ascii="Times New Roman" w:hAnsi="Times New Roman" w:cs="Times New Roman"/>
          <w:sz w:val="24"/>
          <w:szCs w:val="24"/>
          <w:lang w:val="es-ES"/>
        </w:rPr>
      </w:pPr>
      <w:r w:rsidRPr="00AB3F5C">
        <w:rPr>
          <w:rStyle w:val="Textoennegrita"/>
          <w:rFonts w:ascii="Times New Roman" w:hAnsi="Times New Roman" w:cs="Times New Roman"/>
          <w:sz w:val="24"/>
          <w:szCs w:val="24"/>
          <w:lang w:val="es-ES"/>
        </w:rPr>
        <w:t xml:space="preserve">Proyecto de ley 33 de 2014 Senado, de iniciativa </w:t>
      </w:r>
      <w:proofErr w:type="spellStart"/>
      <w:r w:rsidRPr="00AB3F5C">
        <w:rPr>
          <w:rStyle w:val="Textoennegrita"/>
          <w:rFonts w:ascii="Times New Roman" w:hAnsi="Times New Roman" w:cs="Times New Roman"/>
          <w:sz w:val="24"/>
          <w:szCs w:val="24"/>
          <w:lang w:val="es-ES"/>
        </w:rPr>
        <w:t>Congresional</w:t>
      </w:r>
      <w:proofErr w:type="spellEnd"/>
      <w:r w:rsidRPr="00AB3F5C">
        <w:rPr>
          <w:rStyle w:val="Textoennegrita"/>
          <w:rFonts w:ascii="Times New Roman" w:hAnsi="Times New Roman" w:cs="Times New Roman"/>
          <w:sz w:val="24"/>
          <w:szCs w:val="24"/>
          <w:lang w:val="es-ES"/>
        </w:rPr>
        <w:t xml:space="preserve"> por medio del cual se fija la Cotización en Salud de los pensionados con menos de tres Salarios Mínimos Legales Mensuales, se encuentra pendiente de discusión en Cámara de Representantes.</w:t>
      </w:r>
    </w:p>
    <w:p w:rsidR="00140FBC" w:rsidRPr="00AB3F5C" w:rsidRDefault="00140FBC" w:rsidP="004D1D17">
      <w:pPr>
        <w:pStyle w:val="Prrafodelista"/>
        <w:shd w:val="clear" w:color="auto" w:fill="FFFFFF"/>
        <w:spacing w:after="0" w:line="360" w:lineRule="auto"/>
        <w:jc w:val="both"/>
        <w:rPr>
          <w:rStyle w:val="Textoennegrita"/>
          <w:rFonts w:ascii="Times New Roman" w:hAnsi="Times New Roman" w:cs="Times New Roman"/>
          <w:b w:val="0"/>
          <w:sz w:val="24"/>
          <w:szCs w:val="24"/>
          <w:lang w:val="es-ES"/>
        </w:rPr>
      </w:pPr>
    </w:p>
    <w:p w:rsidR="00140FBC" w:rsidRPr="00AB3F5C" w:rsidRDefault="00140FBC" w:rsidP="004D1D17">
      <w:pPr>
        <w:pStyle w:val="Prrafodelista"/>
        <w:numPr>
          <w:ilvl w:val="0"/>
          <w:numId w:val="2"/>
        </w:numPr>
        <w:shd w:val="clear" w:color="auto" w:fill="FFFFFF"/>
        <w:spacing w:after="0" w:line="360" w:lineRule="auto"/>
        <w:jc w:val="both"/>
        <w:rPr>
          <w:rStyle w:val="Textoennegrita"/>
          <w:rFonts w:ascii="Times New Roman" w:hAnsi="Times New Roman" w:cs="Times New Roman"/>
          <w:b w:val="0"/>
          <w:sz w:val="24"/>
          <w:szCs w:val="24"/>
          <w:lang w:val="es-ES"/>
        </w:rPr>
      </w:pPr>
      <w:r w:rsidRPr="00AB3F5C">
        <w:rPr>
          <w:rFonts w:ascii="Times New Roman" w:hAnsi="Times New Roman" w:cs="Times New Roman"/>
          <w:b/>
          <w:spacing w:val="4"/>
          <w:sz w:val="24"/>
          <w:szCs w:val="24"/>
          <w:lang w:val="es-ES_tradnl"/>
        </w:rPr>
        <w:t>Proyecto de ley número 062</w:t>
      </w:r>
      <w:r w:rsidRPr="00AB3F5C">
        <w:rPr>
          <w:rFonts w:ascii="Times New Roman" w:hAnsi="Times New Roman" w:cs="Times New Roman"/>
          <w:spacing w:val="4"/>
          <w:sz w:val="24"/>
          <w:szCs w:val="24"/>
          <w:lang w:val="es-ES_tradnl"/>
        </w:rPr>
        <w:t xml:space="preserve"> presentado el 4 de agosto del año 2015 </w:t>
      </w:r>
      <w:r w:rsidRPr="00AB3F5C">
        <w:rPr>
          <w:rFonts w:ascii="Times New Roman" w:hAnsi="Times New Roman" w:cs="Times New Roman"/>
          <w:spacing w:val="4"/>
          <w:sz w:val="24"/>
          <w:szCs w:val="24"/>
          <w:lang w:val="es-ES_tradnl"/>
        </w:rPr>
        <w:br/>
        <w:t xml:space="preserve">por los honorables Representantes </w:t>
      </w:r>
      <w:r w:rsidRPr="00AB3F5C">
        <w:rPr>
          <w:rFonts w:ascii="Times New Roman" w:hAnsi="Times New Roman" w:cs="Times New Roman"/>
          <w:i/>
          <w:iCs/>
          <w:spacing w:val="4"/>
          <w:sz w:val="24"/>
          <w:szCs w:val="24"/>
          <w:lang w:val="es-ES_tradnl"/>
        </w:rPr>
        <w:t xml:space="preserve">Alejandro Chacón Camargo, Olga Velásquez </w:t>
      </w:r>
      <w:r w:rsidRPr="00AB3F5C">
        <w:rPr>
          <w:rFonts w:ascii="Times New Roman" w:hAnsi="Times New Roman" w:cs="Times New Roman"/>
          <w:i/>
          <w:iCs/>
          <w:spacing w:val="4"/>
          <w:sz w:val="24"/>
          <w:szCs w:val="24"/>
          <w:lang w:val="es-ES_tradnl"/>
        </w:rPr>
        <w:lastRenderedPageBreak/>
        <w:t xml:space="preserve">Nieto. </w:t>
      </w:r>
      <w:r w:rsidRPr="00AB3F5C">
        <w:rPr>
          <w:rFonts w:ascii="Times New Roman" w:hAnsi="Times New Roman" w:cs="Times New Roman"/>
          <w:iCs/>
          <w:spacing w:val="4"/>
          <w:sz w:val="24"/>
          <w:szCs w:val="24"/>
          <w:lang w:val="es-ES_tradnl"/>
        </w:rPr>
        <w:t xml:space="preserve">Por </w:t>
      </w:r>
      <w:r w:rsidRPr="00AB3F5C">
        <w:rPr>
          <w:rFonts w:ascii="Times New Roman" w:hAnsi="Times New Roman" w:cs="Times New Roman"/>
          <w:sz w:val="24"/>
          <w:szCs w:val="24"/>
          <w:lang w:val="es-ES"/>
        </w:rPr>
        <w:t>medio de este proyecto de ley se intenta modificar la cotización mensual al Régimen Contributivo de Salud de los pensionados.</w:t>
      </w:r>
    </w:p>
    <w:p w:rsidR="00140FBC" w:rsidRPr="00AB3F5C" w:rsidRDefault="00140FBC" w:rsidP="004D1D17">
      <w:pPr>
        <w:pStyle w:val="Prrafodelista"/>
        <w:shd w:val="clear" w:color="auto" w:fill="FFFFFF"/>
        <w:spacing w:after="0" w:line="360" w:lineRule="auto"/>
        <w:jc w:val="both"/>
        <w:rPr>
          <w:rFonts w:ascii="Times New Roman" w:eastAsia="Times New Roman" w:hAnsi="Times New Roman" w:cs="Times New Roman"/>
          <w:sz w:val="24"/>
          <w:szCs w:val="24"/>
          <w:lang w:eastAsia="es-CO"/>
        </w:rPr>
      </w:pPr>
    </w:p>
    <w:p w:rsidR="00140FBC" w:rsidRPr="00AB3F5C" w:rsidRDefault="00140FBC" w:rsidP="004D1D17">
      <w:pPr>
        <w:pStyle w:val="Prrafodelista"/>
        <w:numPr>
          <w:ilvl w:val="0"/>
          <w:numId w:val="1"/>
        </w:numPr>
        <w:spacing w:line="360" w:lineRule="auto"/>
        <w:jc w:val="both"/>
        <w:rPr>
          <w:rFonts w:ascii="Times New Roman" w:hAnsi="Times New Roman" w:cs="Times New Roman"/>
          <w:b/>
          <w:i/>
          <w:sz w:val="24"/>
          <w:szCs w:val="24"/>
        </w:rPr>
      </w:pPr>
      <w:r w:rsidRPr="00AB3F5C">
        <w:rPr>
          <w:rFonts w:ascii="Times New Roman" w:hAnsi="Times New Roman" w:cs="Times New Roman"/>
          <w:b/>
          <w:i/>
          <w:sz w:val="24"/>
          <w:szCs w:val="24"/>
        </w:rPr>
        <w:t xml:space="preserve">Consideraciones del proyecto. </w:t>
      </w:r>
    </w:p>
    <w:p w:rsidR="00140FBC" w:rsidRPr="00AB3F5C" w:rsidRDefault="00140FBC" w:rsidP="004D1D17">
      <w:pPr>
        <w:shd w:val="clear" w:color="auto" w:fill="FFFFFF"/>
        <w:spacing w:after="0" w:line="360" w:lineRule="auto"/>
        <w:jc w:val="both"/>
        <w:rPr>
          <w:rFonts w:ascii="Times New Roman" w:eastAsia="Arial Unicode MS" w:hAnsi="Times New Roman" w:cs="Times New Roman"/>
          <w:sz w:val="24"/>
          <w:szCs w:val="24"/>
        </w:rPr>
      </w:pPr>
      <w:r w:rsidRPr="00AB3F5C">
        <w:rPr>
          <w:rFonts w:ascii="Times New Roman" w:eastAsia="Arial Unicode MS" w:hAnsi="Times New Roman" w:cs="Times New Roman"/>
          <w:sz w:val="24"/>
          <w:szCs w:val="24"/>
        </w:rPr>
        <w:t xml:space="preserve">El número total de afiliados de los FPO, FPV y FRPM ascendió a 26.693.673 al 30 de noviembre 2015. </w:t>
      </w:r>
    </w:p>
    <w:p w:rsidR="00140FBC" w:rsidRPr="00AB3F5C" w:rsidRDefault="00140FBC" w:rsidP="004D1D17">
      <w:pPr>
        <w:spacing w:line="360" w:lineRule="auto"/>
        <w:ind w:left="-142" w:right="-74" w:hanging="142"/>
        <w:jc w:val="center"/>
        <w:rPr>
          <w:rFonts w:ascii="Times New Roman" w:eastAsia="Arial Unicode MS" w:hAnsi="Times New Roman" w:cs="Times New Roman"/>
          <w:sz w:val="24"/>
          <w:szCs w:val="24"/>
        </w:rPr>
      </w:pPr>
      <w:r w:rsidRPr="00AB3F5C">
        <w:rPr>
          <w:rFonts w:ascii="Times New Roman" w:eastAsia="Arial Unicode MS" w:hAnsi="Times New Roman" w:cs="Times New Roman"/>
          <w:noProof/>
          <w:sz w:val="24"/>
          <w:szCs w:val="24"/>
          <w:lang w:eastAsia="es-CO"/>
        </w:rPr>
        <w:drawing>
          <wp:inline distT="0" distB="0" distL="0" distR="0" wp14:anchorId="59E7E2CC" wp14:editId="2FF495AF">
            <wp:extent cx="6407591" cy="46323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7920" cy="4632623"/>
                    </a:xfrm>
                    <a:prstGeom prst="rect">
                      <a:avLst/>
                    </a:prstGeom>
                    <a:noFill/>
                    <a:ln>
                      <a:noFill/>
                    </a:ln>
                  </pic:spPr>
                </pic:pic>
              </a:graphicData>
            </a:graphic>
          </wp:inline>
        </w:drawing>
      </w:r>
    </w:p>
    <w:p w:rsidR="00140FBC" w:rsidRPr="00AB3F5C" w:rsidRDefault="00140FBC" w:rsidP="004D1D17">
      <w:pPr>
        <w:shd w:val="clear" w:color="auto" w:fill="FFFFFF"/>
        <w:spacing w:after="0" w:line="360" w:lineRule="auto"/>
        <w:jc w:val="both"/>
        <w:rPr>
          <w:rFonts w:ascii="Times New Roman" w:eastAsia="Arial Unicode MS" w:hAnsi="Times New Roman" w:cs="Times New Roman"/>
          <w:sz w:val="24"/>
          <w:szCs w:val="24"/>
        </w:rPr>
      </w:pPr>
      <w:r w:rsidRPr="00AB3F5C">
        <w:rPr>
          <w:rFonts w:ascii="Times New Roman" w:eastAsia="Arial Unicode MS" w:hAnsi="Times New Roman" w:cs="Times New Roman"/>
          <w:sz w:val="24"/>
          <w:szCs w:val="24"/>
        </w:rPr>
        <w:lastRenderedPageBreak/>
        <w:t>El anterior cuadro, presenta el total de los afiliados para cada uno de los FPO, FPV, y FRPM al 30 de noviembre de 2015. Mientras que el 55.12% de los afiliados a los FPO son no cotizantes</w:t>
      </w:r>
      <w:r w:rsidRPr="00AB3F5C">
        <w:rPr>
          <w:rStyle w:val="Refdenotaalpie"/>
          <w:rFonts w:ascii="Times New Roman" w:eastAsia="Arial Unicode MS" w:hAnsi="Times New Roman" w:cs="Times New Roman"/>
          <w:sz w:val="24"/>
          <w:szCs w:val="24"/>
        </w:rPr>
        <w:footnoteReference w:id="1"/>
      </w:r>
      <w:r w:rsidRPr="00AB3F5C">
        <w:rPr>
          <w:rFonts w:ascii="Times New Roman" w:eastAsia="Arial Unicode MS" w:hAnsi="Times New Roman" w:cs="Times New Roman"/>
          <w:sz w:val="24"/>
          <w:szCs w:val="24"/>
        </w:rPr>
        <w:t xml:space="preserve"> (7.289.904 personas), para los FRPM esta población representa el 66.25% (4.179.511 personas) del total de afiliados</w:t>
      </w:r>
      <w:r w:rsidRPr="00AB3F5C">
        <w:rPr>
          <w:rStyle w:val="Refdenotaalpie"/>
          <w:rFonts w:ascii="Times New Roman" w:eastAsia="Arial Unicode MS" w:hAnsi="Times New Roman" w:cs="Times New Roman"/>
          <w:sz w:val="24"/>
          <w:szCs w:val="24"/>
        </w:rPr>
        <w:footnoteReference w:id="2"/>
      </w:r>
      <w:r w:rsidRPr="00AB3F5C">
        <w:rPr>
          <w:rFonts w:ascii="Times New Roman" w:eastAsia="Arial Unicode MS" w:hAnsi="Times New Roman" w:cs="Times New Roman"/>
          <w:sz w:val="24"/>
          <w:szCs w:val="24"/>
        </w:rPr>
        <w:t>.</w:t>
      </w:r>
    </w:p>
    <w:p w:rsidR="00140FBC" w:rsidRPr="00AB3F5C" w:rsidRDefault="00140FBC" w:rsidP="004D1D17">
      <w:pPr>
        <w:shd w:val="clear" w:color="auto" w:fill="FFFFFF"/>
        <w:spacing w:after="0" w:line="360" w:lineRule="auto"/>
        <w:jc w:val="both"/>
        <w:rPr>
          <w:rFonts w:ascii="Times New Roman" w:eastAsia="Arial Unicode MS" w:hAnsi="Times New Roman" w:cs="Times New Roman"/>
          <w:sz w:val="24"/>
          <w:szCs w:val="24"/>
        </w:rPr>
      </w:pPr>
    </w:p>
    <w:p w:rsidR="00140FBC" w:rsidRPr="00AB3F5C" w:rsidRDefault="00140FBC" w:rsidP="004D1D17">
      <w:pPr>
        <w:spacing w:line="360" w:lineRule="auto"/>
        <w:jc w:val="both"/>
        <w:rPr>
          <w:rFonts w:ascii="Times New Roman" w:eastAsia="Arial Unicode MS" w:hAnsi="Times New Roman" w:cs="Times New Roman"/>
          <w:sz w:val="24"/>
          <w:szCs w:val="24"/>
        </w:rPr>
      </w:pPr>
      <w:r w:rsidRPr="00AB3F5C">
        <w:rPr>
          <w:rFonts w:ascii="Times New Roman" w:eastAsia="Arial Unicode MS" w:hAnsi="Times New Roman" w:cs="Times New Roman"/>
          <w:sz w:val="24"/>
          <w:szCs w:val="24"/>
        </w:rPr>
        <w:t>Así mismo, del total de afiliados a los FPO, el 45.25% corresponde a afiliados inactivos</w:t>
      </w:r>
      <w:r w:rsidRPr="00AB3F5C">
        <w:rPr>
          <w:rStyle w:val="Refdenotaalpie"/>
          <w:rFonts w:ascii="Times New Roman" w:eastAsia="Arial Unicode MS" w:hAnsi="Times New Roman" w:cs="Times New Roman"/>
          <w:sz w:val="24"/>
          <w:szCs w:val="24"/>
        </w:rPr>
        <w:footnoteReference w:id="3"/>
      </w:r>
      <w:r w:rsidRPr="00AB3F5C">
        <w:rPr>
          <w:rFonts w:ascii="Times New Roman" w:eastAsia="Arial Unicode MS" w:hAnsi="Times New Roman" w:cs="Times New Roman"/>
          <w:sz w:val="24"/>
          <w:szCs w:val="24"/>
        </w:rPr>
        <w:t xml:space="preserve"> (5,984.519 personas), mientras que para los afiliados a </w:t>
      </w:r>
      <w:proofErr w:type="spellStart"/>
      <w:r w:rsidRPr="00AB3F5C">
        <w:rPr>
          <w:rFonts w:ascii="Times New Roman" w:eastAsia="Arial Unicode MS" w:hAnsi="Times New Roman" w:cs="Times New Roman"/>
          <w:sz w:val="24"/>
          <w:szCs w:val="24"/>
        </w:rPr>
        <w:t>Colpensiones</w:t>
      </w:r>
      <w:proofErr w:type="spellEnd"/>
      <w:r w:rsidRPr="00AB3F5C">
        <w:rPr>
          <w:rStyle w:val="Refdenotaalpie"/>
          <w:rFonts w:ascii="Times New Roman" w:eastAsia="Arial Unicode MS" w:hAnsi="Times New Roman" w:cs="Times New Roman"/>
          <w:sz w:val="24"/>
          <w:szCs w:val="24"/>
        </w:rPr>
        <w:footnoteReference w:id="4"/>
      </w:r>
      <w:r w:rsidRPr="00AB3F5C">
        <w:rPr>
          <w:rFonts w:ascii="Times New Roman" w:eastAsia="Arial Unicode MS" w:hAnsi="Times New Roman" w:cs="Times New Roman"/>
          <w:sz w:val="24"/>
          <w:szCs w:val="24"/>
        </w:rPr>
        <w:t xml:space="preserve"> el 58.89% corresponde a esta clasificación (3,714.109 personas).</w:t>
      </w:r>
    </w:p>
    <w:p w:rsidR="00140FBC" w:rsidRPr="00AB3F5C" w:rsidRDefault="00140FBC" w:rsidP="004D1D17">
      <w:pPr>
        <w:spacing w:line="360" w:lineRule="auto"/>
        <w:jc w:val="both"/>
        <w:rPr>
          <w:rFonts w:ascii="Times New Roman" w:hAnsi="Times New Roman" w:cs="Times New Roman"/>
          <w:sz w:val="24"/>
          <w:szCs w:val="24"/>
        </w:rPr>
      </w:pPr>
      <w:r w:rsidRPr="00AB3F5C">
        <w:rPr>
          <w:rFonts w:ascii="Times New Roman" w:hAnsi="Times New Roman" w:cs="Times New Roman"/>
          <w:sz w:val="24"/>
          <w:szCs w:val="24"/>
        </w:rPr>
        <w:t xml:space="preserve">En cuanto a los docentes, según información de la Fiduciaria La Previsora  “FIDUPREVISORA”,  a febrero de 2015 existen 59.872 maestros pensionados activos, en tanto, el número de maestros pensionados retirados es casi del doble, con un total de 108.656, lo anterior se muestra discriminado por departamento en el siguiente cuadro: </w:t>
      </w:r>
    </w:p>
    <w:p w:rsidR="00140FBC" w:rsidRPr="00AB3F5C" w:rsidRDefault="00140FBC" w:rsidP="004D1D17">
      <w:pPr>
        <w:spacing w:line="360" w:lineRule="auto"/>
        <w:jc w:val="center"/>
        <w:rPr>
          <w:rFonts w:ascii="Times New Roman" w:hAnsi="Times New Roman" w:cs="Times New Roman"/>
          <w:b/>
          <w:sz w:val="24"/>
          <w:szCs w:val="24"/>
        </w:rPr>
      </w:pPr>
      <w:r w:rsidRPr="00AB3F5C">
        <w:rPr>
          <w:rFonts w:ascii="Times New Roman" w:hAnsi="Times New Roman" w:cs="Times New Roman"/>
          <w:b/>
          <w:sz w:val="24"/>
          <w:szCs w:val="24"/>
        </w:rPr>
        <w:t>NUMERO DE PENSIONADOS POR DEPARTAMENTO</w:t>
      </w:r>
    </w:p>
    <w:tbl>
      <w:tblPr>
        <w:tblpPr w:leftFromText="141" w:rightFromText="141" w:vertAnchor="text" w:tblpXSpec="center" w:tblpY="1"/>
        <w:tblOverlap w:val="never"/>
        <w:tblW w:w="6946" w:type="dxa"/>
        <w:tblCellMar>
          <w:left w:w="0" w:type="dxa"/>
          <w:right w:w="0" w:type="dxa"/>
        </w:tblCellMar>
        <w:tblLook w:val="04A0" w:firstRow="1" w:lastRow="0" w:firstColumn="1" w:lastColumn="0" w:noHBand="0" w:noVBand="1"/>
      </w:tblPr>
      <w:tblGrid>
        <w:gridCol w:w="2268"/>
        <w:gridCol w:w="1874"/>
        <w:gridCol w:w="2835"/>
      </w:tblGrid>
      <w:tr w:rsidR="00AB3F5C" w:rsidRPr="00AB3F5C" w:rsidTr="00345922">
        <w:trPr>
          <w:trHeight w:val="300"/>
        </w:trPr>
        <w:tc>
          <w:tcPr>
            <w:tcW w:w="2268" w:type="dxa"/>
            <w:tcBorders>
              <w:top w:val="single" w:sz="8" w:space="0" w:color="auto"/>
              <w:left w:val="single" w:sz="8" w:space="0" w:color="auto"/>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center"/>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DEPARTAMENTO</w:t>
            </w:r>
          </w:p>
        </w:tc>
        <w:tc>
          <w:tcPr>
            <w:tcW w:w="1843" w:type="dxa"/>
            <w:tcBorders>
              <w:top w:val="single" w:sz="8" w:space="0" w:color="auto"/>
              <w:left w:val="nil"/>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center"/>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PENSIONADO ACTIVO</w:t>
            </w:r>
          </w:p>
        </w:tc>
        <w:tc>
          <w:tcPr>
            <w:tcW w:w="2835" w:type="dxa"/>
            <w:tcBorders>
              <w:top w:val="single" w:sz="8" w:space="0" w:color="auto"/>
              <w:left w:val="nil"/>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center"/>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PENSIONADO RETIRADO</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AMAZONAS</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106</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121</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ANTIOQUIA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5226</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17515</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ARAUCA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355</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505</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ATLANTICO</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3014</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2936</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lastRenderedPageBreak/>
              <w:t>BOGOTA D.C.</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5151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14130</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BOLIVAR</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2610</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3159</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BOYACA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2272</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5337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CALDAS</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1721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5306</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CAQUETA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793</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1146</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CASANARE</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399</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618</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CAUCA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2463</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2848</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CESAR</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1808</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2414</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CHOCO</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1233</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1537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CORDOBA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3711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2514</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CUNDINAMARCA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2475</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7913</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GUAINIA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39</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67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GUAVIARE</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69</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177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HUILA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2151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2747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LA GUAJIRA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1221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919</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MAGDALENA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2395</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2499</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META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1078</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1838</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lastRenderedPageBreak/>
              <w:t>NARINO</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3300</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3657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NORTE DE SANTANDER</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2233</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3455</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PUTUMAYO</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541</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623</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QUINDIO</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796</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2451</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RISARALDA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1126</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2992</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SAN ANDRES ISLAS</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109</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294</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SANTANDER</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3013</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6650</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SUCRE</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1817</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1578</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TOLIMA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2712</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3249</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VALLE DEL CAUCA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3839</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7317</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VAUPES</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40</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54</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sz w:val="24"/>
                <w:szCs w:val="24"/>
                <w:lang w:eastAsia="es-CO"/>
              </w:rPr>
            </w:pPr>
            <w:r w:rsidRPr="00AB3F5C">
              <w:rPr>
                <w:rFonts w:ascii="Times New Roman" w:hAnsi="Times New Roman" w:cs="Times New Roman"/>
                <w:sz w:val="24"/>
                <w:szCs w:val="24"/>
                <w:lang w:eastAsia="es-CO"/>
              </w:rPr>
              <w:t>VICHADA</w:t>
            </w:r>
          </w:p>
        </w:tc>
        <w:tc>
          <w:tcPr>
            <w:tcW w:w="1843"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56</w:t>
            </w:r>
          </w:p>
        </w:tc>
        <w:tc>
          <w:tcPr>
            <w:tcW w:w="283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sz w:val="24"/>
                <w:szCs w:val="24"/>
                <w:lang w:eastAsia="es-CO"/>
              </w:rPr>
            </w:pPr>
            <w:r w:rsidRPr="00AB3F5C">
              <w:rPr>
                <w:rFonts w:ascii="Times New Roman" w:hAnsi="Times New Roman" w:cs="Times New Roman"/>
                <w:sz w:val="24"/>
                <w:szCs w:val="24"/>
                <w:lang w:eastAsia="es-CO"/>
              </w:rPr>
              <w:t>90</w:t>
            </w:r>
          </w:p>
        </w:tc>
      </w:tr>
      <w:tr w:rsidR="00AB3F5C" w:rsidRPr="00AB3F5C" w:rsidTr="00345922">
        <w:trPr>
          <w:trHeight w:val="300"/>
        </w:trPr>
        <w:tc>
          <w:tcPr>
            <w:tcW w:w="2268" w:type="dxa"/>
            <w:tcBorders>
              <w:top w:val="nil"/>
              <w:left w:val="single" w:sz="8" w:space="0" w:color="auto"/>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TOTAL</w:t>
            </w:r>
          </w:p>
        </w:tc>
        <w:tc>
          <w:tcPr>
            <w:tcW w:w="1843" w:type="dxa"/>
            <w:tcBorders>
              <w:top w:val="nil"/>
              <w:left w:val="nil"/>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59872</w:t>
            </w:r>
          </w:p>
        </w:tc>
        <w:tc>
          <w:tcPr>
            <w:tcW w:w="2835" w:type="dxa"/>
            <w:tcBorders>
              <w:top w:val="nil"/>
              <w:left w:val="nil"/>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108656</w:t>
            </w:r>
          </w:p>
        </w:tc>
      </w:tr>
      <w:tr w:rsidR="00AB3F5C" w:rsidRPr="00AB3F5C" w:rsidTr="00345922">
        <w:trPr>
          <w:trHeight w:val="300"/>
        </w:trPr>
        <w:tc>
          <w:tcPr>
            <w:tcW w:w="2268" w:type="dxa"/>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b/>
                <w:bCs/>
                <w:sz w:val="24"/>
                <w:szCs w:val="24"/>
                <w:lang w:eastAsia="es-CO"/>
              </w:rPr>
            </w:pPr>
          </w:p>
        </w:tc>
        <w:tc>
          <w:tcPr>
            <w:tcW w:w="1843" w:type="dxa"/>
            <w:tcBorders>
              <w:top w:val="nil"/>
              <w:left w:val="single" w:sz="8" w:space="0" w:color="auto"/>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TOTAL PENSIONADOS</w:t>
            </w:r>
          </w:p>
        </w:tc>
        <w:tc>
          <w:tcPr>
            <w:tcW w:w="2835" w:type="dxa"/>
            <w:tcBorders>
              <w:top w:val="nil"/>
              <w:left w:val="nil"/>
              <w:bottom w:val="single" w:sz="8" w:space="0" w:color="auto"/>
              <w:right w:val="single" w:sz="8" w:space="0" w:color="auto"/>
            </w:tcBorders>
            <w:shd w:val="clear" w:color="auto" w:fill="D6DCE4"/>
            <w:noWrap/>
            <w:tcMar>
              <w:top w:w="0" w:type="dxa"/>
              <w:left w:w="70" w:type="dxa"/>
              <w:bottom w:w="0" w:type="dxa"/>
              <w:right w:w="70" w:type="dxa"/>
            </w:tcMar>
            <w:vAlign w:val="bottom"/>
            <w:hideMark/>
          </w:tcPr>
          <w:p w:rsidR="00140FBC" w:rsidRPr="00AB3F5C" w:rsidRDefault="00140FBC" w:rsidP="004D1D17">
            <w:pPr>
              <w:spacing w:line="360" w:lineRule="auto"/>
              <w:jc w:val="right"/>
              <w:rPr>
                <w:rFonts w:ascii="Times New Roman" w:hAnsi="Times New Roman" w:cs="Times New Roman"/>
                <w:b/>
                <w:bCs/>
                <w:sz w:val="24"/>
                <w:szCs w:val="24"/>
                <w:lang w:eastAsia="es-CO"/>
              </w:rPr>
            </w:pPr>
            <w:r w:rsidRPr="00AB3F5C">
              <w:rPr>
                <w:rFonts w:ascii="Times New Roman" w:hAnsi="Times New Roman" w:cs="Times New Roman"/>
                <w:b/>
                <w:bCs/>
                <w:sz w:val="24"/>
                <w:szCs w:val="24"/>
                <w:lang w:eastAsia="es-CO"/>
              </w:rPr>
              <w:t>168528</w:t>
            </w:r>
          </w:p>
        </w:tc>
      </w:tr>
    </w:tbl>
    <w:p w:rsidR="00140FBC" w:rsidRPr="00AB3F5C" w:rsidRDefault="00140FBC" w:rsidP="004D1D17">
      <w:pPr>
        <w:spacing w:line="360" w:lineRule="auto"/>
        <w:jc w:val="both"/>
        <w:rPr>
          <w:rStyle w:val="Textoennegrita"/>
          <w:rFonts w:ascii="Times New Roman" w:hAnsi="Times New Roman" w:cs="Times New Roman"/>
          <w:b w:val="0"/>
          <w:bCs w:val="0"/>
          <w:sz w:val="24"/>
          <w:szCs w:val="24"/>
        </w:rPr>
      </w:pPr>
      <w:r w:rsidRPr="00AB3F5C">
        <w:rPr>
          <w:rFonts w:ascii="Times New Roman" w:hAnsi="Times New Roman" w:cs="Times New Roman"/>
          <w:sz w:val="24"/>
          <w:szCs w:val="24"/>
        </w:rPr>
        <w:br w:type="textWrapping" w:clear="all"/>
      </w:r>
    </w:p>
    <w:p w:rsidR="00140FBC" w:rsidRPr="00AB3F5C" w:rsidRDefault="00140FBC" w:rsidP="004D1D17">
      <w:pPr>
        <w:pStyle w:val="Prrafodelista"/>
        <w:numPr>
          <w:ilvl w:val="0"/>
          <w:numId w:val="1"/>
        </w:numPr>
        <w:spacing w:line="360" w:lineRule="auto"/>
        <w:ind w:left="502"/>
        <w:jc w:val="both"/>
        <w:rPr>
          <w:rFonts w:ascii="Times New Roman" w:hAnsi="Times New Roman" w:cs="Times New Roman"/>
          <w:sz w:val="24"/>
          <w:szCs w:val="24"/>
        </w:rPr>
      </w:pPr>
      <w:r w:rsidRPr="00AB3F5C">
        <w:rPr>
          <w:rFonts w:ascii="Times New Roman" w:hAnsi="Times New Roman" w:cs="Times New Roman"/>
          <w:b/>
          <w:i/>
          <w:sz w:val="24"/>
          <w:szCs w:val="24"/>
        </w:rPr>
        <w:lastRenderedPageBreak/>
        <w:t>Marco Jurídico.</w:t>
      </w:r>
    </w:p>
    <w:p w:rsidR="00140FBC" w:rsidRPr="00AB3F5C" w:rsidRDefault="00140FBC" w:rsidP="004D1D17">
      <w:pPr>
        <w:pStyle w:val="Prrafodelista"/>
        <w:numPr>
          <w:ilvl w:val="1"/>
          <w:numId w:val="1"/>
        </w:numPr>
        <w:spacing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 xml:space="preserve"> Del Proyecto de Ley:</w:t>
      </w:r>
    </w:p>
    <w:p w:rsidR="00140FBC" w:rsidRPr="00AB3F5C" w:rsidRDefault="00140FBC" w:rsidP="004D1D17">
      <w:pPr>
        <w:spacing w:line="360" w:lineRule="auto"/>
        <w:jc w:val="both"/>
        <w:rPr>
          <w:rFonts w:ascii="Times New Roman" w:hAnsi="Times New Roman" w:cs="Times New Roman"/>
          <w:sz w:val="24"/>
          <w:szCs w:val="24"/>
        </w:rPr>
      </w:pPr>
      <w:r w:rsidRPr="00AB3F5C">
        <w:rPr>
          <w:rFonts w:ascii="Times New Roman" w:hAnsi="Times New Roman" w:cs="Times New Roman"/>
          <w:sz w:val="24"/>
          <w:szCs w:val="24"/>
        </w:rPr>
        <w:t xml:space="preserve">El Proyecto de Ley a que se refiere esta ponencia cumple con lo establecido en el artículo 140 numeral 1 de la Ley 5ª de 1992, pues se trata de una Iniciativa Legislativa presentada individualmente por Honorable Senador SENÉN NIÑO AVENDAÑO, quien tiene la competencia para tal efecto. </w:t>
      </w:r>
    </w:p>
    <w:p w:rsidR="00140FBC" w:rsidRPr="00AB3F5C" w:rsidRDefault="00140FBC" w:rsidP="004D1D17">
      <w:pPr>
        <w:spacing w:line="360" w:lineRule="auto"/>
        <w:jc w:val="both"/>
        <w:rPr>
          <w:rFonts w:ascii="Times New Roman" w:hAnsi="Times New Roman" w:cs="Times New Roman"/>
          <w:sz w:val="24"/>
          <w:szCs w:val="24"/>
        </w:rPr>
      </w:pPr>
      <w:r w:rsidRPr="00AB3F5C">
        <w:rPr>
          <w:rFonts w:ascii="Times New Roman" w:hAnsi="Times New Roman" w:cs="Times New Roman"/>
          <w:sz w:val="24"/>
          <w:szCs w:val="24"/>
        </w:rPr>
        <w:t>Cumple además con los artículos 154, 157, 158 y 169 de la Constitución Política referentes a la iniciativa legislativa, unidad de materia y título de la ley. Así mismo con el artículo 150 de la Carta que manifiesta que dentro de las funciones del Congreso está la de hacer las Leyes.</w:t>
      </w:r>
    </w:p>
    <w:p w:rsidR="00140FBC" w:rsidRPr="00AB3F5C" w:rsidRDefault="00140FBC" w:rsidP="004D1D17">
      <w:pPr>
        <w:pStyle w:val="Prrafodelista"/>
        <w:numPr>
          <w:ilvl w:val="1"/>
          <w:numId w:val="1"/>
        </w:numPr>
        <w:spacing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 xml:space="preserve"> El Régimen pensional de los docentes: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Tratar del tema de salud y prestaciones sociales del magisterio, es hacer referencia de la vida misma y el futuro con calidad que merece todo maestro y maestra con sus familias.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Magisterio como una cuenta especial de la Nación, sin personería Jurídica, con independencia patrimonial, contable y estadística, cuyos recursos son manejados por una entidad fiduciaria estatal o de economía mixta. Tiene como finalidad primordial la eficaz administración de los recursos de la cuenta especial de la Nación.</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La prestación de los servicios médico-asistenciales se realiza a través de la contratación con entidades de salud de acuerdo con las instrucciones que imparte el Consejo Directivo del Fondo. Este sistema tiene carácter de excepcionado del Sistema de Seguridad Social de la Ley 100 de 1993.</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lastRenderedPageBreak/>
        <w:t xml:space="preserve">El régimen jurídico de los docentes en Colombia, presenta una doble connotación en cuanto a la pensión obtenida por la prestación del servicio, una es vista por un régimen jurídico que a continuación explicaremos, la cual es la pensión de jubilación y la otra es pensión de vejez.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 xml:space="preserve">En ese entendido, el marco jurídico explicará las principales diferencias entre esta doble indicación para un mejor entendimiento, de manera que, </w:t>
      </w:r>
      <w:r w:rsidRPr="00AB3F5C">
        <w:rPr>
          <w:rFonts w:ascii="Times New Roman" w:hAnsi="Times New Roman" w:cs="Times New Roman"/>
          <w:sz w:val="24"/>
          <w:szCs w:val="24"/>
          <w:lang w:val="es-ES"/>
        </w:rPr>
        <w:t>el término Jubilación se daba a las pensiones antes de aparecer el ISS y vejez a las que entrega este Instituto</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br/>
      </w:r>
      <w:r w:rsidRPr="00AB3F5C">
        <w:rPr>
          <w:rStyle w:val="nfasis"/>
          <w:rFonts w:ascii="Times New Roman" w:hAnsi="Times New Roman" w:cs="Times New Roman"/>
          <w:b/>
          <w:bCs/>
          <w:sz w:val="24"/>
          <w:szCs w:val="24"/>
          <w:lang w:val="es-ES"/>
        </w:rPr>
        <w:t>PENSION DE JUBILACION.</w:t>
      </w:r>
      <w:r w:rsidRPr="00AB3F5C">
        <w:rPr>
          <w:rStyle w:val="Textoennegrita"/>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t xml:space="preserve">Inicialmente la ley utilizaba la palabra “jubilación” para referirse a las siguientes pensiones: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t>1. Pensiones de los empleados oficiales, reconocidas y pagadas por CAJANAL</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br/>
        <w:t xml:space="preserve">2. Pensiones de los trabajadores de Empresas del sector privado reconocidas directamente por la Empresa.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t xml:space="preserve">3 Las pagadas por cajas especiales.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t xml:space="preserve">La </w:t>
      </w:r>
      <w:hyperlink r:id="rId10" w:tgtFrame="_blank" w:history="1">
        <w:r w:rsidRPr="00AB3F5C">
          <w:rPr>
            <w:rStyle w:val="Hipervnculo"/>
            <w:rFonts w:ascii="Times New Roman" w:hAnsi="Times New Roman" w:cs="Times New Roman"/>
            <w:color w:val="auto"/>
            <w:sz w:val="24"/>
            <w:szCs w:val="24"/>
            <w:lang w:val="es-ES"/>
          </w:rPr>
          <w:t>Ley 33 de 1985,</w:t>
        </w:r>
      </w:hyperlink>
      <w:r w:rsidRPr="00AB3F5C">
        <w:rPr>
          <w:rFonts w:ascii="Times New Roman" w:hAnsi="Times New Roman" w:cs="Times New Roman"/>
          <w:sz w:val="24"/>
          <w:szCs w:val="24"/>
          <w:lang w:val="es-ES"/>
        </w:rPr>
        <w:t xml:space="preserve"> hablaba de pensión de jubilación para los empleados oficiales, como aquella que consistía en el pago de una pensión vitalicia con las siguientes características: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br/>
        <w:t xml:space="preserve">1- Valor: equivalente al (75%) del salario promedio que sirvió de base para los aportes durante el último año de servicio.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t>2-Tiempo de servicio: haber servido veinte (20) años continuos o discontinuos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lastRenderedPageBreak/>
        <w:t xml:space="preserve"> </w:t>
      </w:r>
      <w:r w:rsidRPr="00AB3F5C">
        <w:rPr>
          <w:rFonts w:ascii="Times New Roman" w:hAnsi="Times New Roman" w:cs="Times New Roman"/>
          <w:sz w:val="24"/>
          <w:szCs w:val="24"/>
          <w:lang w:val="es-ES"/>
        </w:rPr>
        <w:br/>
        <w:t xml:space="preserve">3-Edad: 55 años de edad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r>
      <w:r w:rsidRPr="00AB3F5C">
        <w:rPr>
          <w:rStyle w:val="nfasis"/>
          <w:rFonts w:ascii="Times New Roman" w:hAnsi="Times New Roman" w:cs="Times New Roman"/>
          <w:b/>
          <w:bCs/>
          <w:sz w:val="24"/>
          <w:szCs w:val="24"/>
          <w:lang w:val="es-ES"/>
        </w:rPr>
        <w:t>PENSION DE VEJEZ.</w:t>
      </w:r>
      <w:r w:rsidRPr="00AB3F5C">
        <w:rPr>
          <w:rStyle w:val="Textoennegrita"/>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t xml:space="preserve">Posteriormente, a partir de 1967, el ISS empezó a asumir el reconocimiento y pago de las pensiones de trabajadores privados, y en tal caso, la normatividad comenzó a hablar de la pensión por vejez de esos empleados. Por ejemplo, el acuerdo 029 de 1985 del ISS, aprobado por el decreto 2879 de 1985, establecía que para el reconocimiento de la pensión de vejez, era necesario: </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br/>
        <w:t>1-Edad: 55 años para las mujeres o 60 años para los varones.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br/>
        <w:t>2-Tiempo: acreditar por lo menos 500 semanas de cotización durante los últimos 20 años anteriores a la solicitud, o 1000 semanas sufragadas en cualquier tiempo.</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 xml:space="preserve"> </w:t>
      </w:r>
      <w:r w:rsidRPr="00AB3F5C">
        <w:rPr>
          <w:rFonts w:ascii="Times New Roman" w:hAnsi="Times New Roman" w:cs="Times New Roman"/>
          <w:sz w:val="24"/>
          <w:szCs w:val="24"/>
          <w:lang w:val="es-ES"/>
        </w:rPr>
        <w:br/>
        <w:t xml:space="preserve">El Magistrado Rodrigo </w:t>
      </w:r>
      <w:proofErr w:type="spellStart"/>
      <w:r w:rsidRPr="00AB3F5C">
        <w:rPr>
          <w:rFonts w:ascii="Times New Roman" w:hAnsi="Times New Roman" w:cs="Times New Roman"/>
          <w:sz w:val="24"/>
          <w:szCs w:val="24"/>
          <w:lang w:val="es-ES"/>
        </w:rPr>
        <w:t>Uprimny</w:t>
      </w:r>
      <w:proofErr w:type="spellEnd"/>
      <w:r w:rsidRPr="00AB3F5C">
        <w:rPr>
          <w:rFonts w:ascii="Times New Roman" w:hAnsi="Times New Roman" w:cs="Times New Roman"/>
          <w:sz w:val="24"/>
          <w:szCs w:val="24"/>
          <w:lang w:val="es-ES"/>
        </w:rPr>
        <w:t xml:space="preserve"> Yepes en sentencia </w:t>
      </w:r>
      <w:hyperlink r:id="rId11" w:tgtFrame="_blank" w:history="1">
        <w:r w:rsidRPr="00AB3F5C">
          <w:rPr>
            <w:rStyle w:val="Hipervnculo"/>
            <w:rFonts w:ascii="Times New Roman" w:hAnsi="Times New Roman" w:cs="Times New Roman"/>
            <w:color w:val="auto"/>
            <w:sz w:val="24"/>
            <w:szCs w:val="24"/>
            <w:lang w:val="es-ES"/>
          </w:rPr>
          <w:t xml:space="preserve">C-1255 de 2001 </w:t>
        </w:r>
      </w:hyperlink>
      <w:r w:rsidRPr="00AB3F5C">
        <w:rPr>
          <w:rFonts w:ascii="Times New Roman" w:hAnsi="Times New Roman" w:cs="Times New Roman"/>
          <w:sz w:val="24"/>
          <w:szCs w:val="24"/>
          <w:lang w:val="es-ES"/>
        </w:rPr>
        <w:t xml:space="preserve">de la Corte Constitucional, señala como la normatividad anterior a la Ley 100 de 1993 tendía a reservar el término "pensión de vejez” a aquellas que fueran reconocidas por el Instituto de Seguros Sociales a los trabajadores privados, mientras que solía hablar de pensión de “jubilación” en el caso de los empleados públicos o de las pensiones reconocidas por las empresas o por cajas especiales, pero con la </w:t>
      </w:r>
      <w:hyperlink r:id="rId12" w:tgtFrame="_blank" w:history="1">
        <w:r w:rsidRPr="00AB3F5C">
          <w:rPr>
            <w:rStyle w:val="Hipervnculo"/>
            <w:rFonts w:ascii="Times New Roman" w:hAnsi="Times New Roman" w:cs="Times New Roman"/>
            <w:color w:val="auto"/>
            <w:sz w:val="24"/>
            <w:szCs w:val="24"/>
            <w:lang w:val="es-ES"/>
          </w:rPr>
          <w:t>Ley 100 de 1993,</w:t>
        </w:r>
      </w:hyperlink>
      <w:r w:rsidRPr="00AB3F5C">
        <w:rPr>
          <w:rFonts w:ascii="Times New Roman" w:hAnsi="Times New Roman" w:cs="Times New Roman"/>
          <w:sz w:val="24"/>
          <w:szCs w:val="24"/>
          <w:lang w:val="es-ES"/>
        </w:rPr>
        <w:t xml:space="preserve"> señala que la contingencia de vejez sería cubierta con una pensión que en todos los casos se llamaría "de vejez", sin importar si se trata de trabajadores privados o de servidores públicos.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lang w:val="es-ES"/>
        </w:rPr>
        <w:t>En concordancia con lo anterior, podemos afirmar que, la pensión en los docentes dependiendo del régimen en donde se encuentren se otorga con el lleno de los siguientes requisitos legales enmarcados en la siguiente normatividad:</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p>
    <w:p w:rsidR="00140FBC" w:rsidRPr="00AB3F5C" w:rsidRDefault="00140FBC" w:rsidP="004D1D17">
      <w:pPr>
        <w:pStyle w:val="Prrafodelista"/>
        <w:numPr>
          <w:ilvl w:val="0"/>
          <w:numId w:val="2"/>
        </w:numPr>
        <w:autoSpaceDE w:val="0"/>
        <w:autoSpaceDN w:val="0"/>
        <w:adjustRightInd w:val="0"/>
        <w:spacing w:after="0" w:line="360" w:lineRule="auto"/>
        <w:jc w:val="both"/>
        <w:rPr>
          <w:rFonts w:ascii="Times New Roman" w:hAnsi="Times New Roman" w:cs="Times New Roman"/>
          <w:b/>
          <w:bCs/>
          <w:iCs/>
          <w:sz w:val="24"/>
          <w:szCs w:val="24"/>
        </w:rPr>
      </w:pPr>
      <w:r w:rsidRPr="00AB3F5C">
        <w:rPr>
          <w:rFonts w:ascii="Times New Roman" w:hAnsi="Times New Roman" w:cs="Times New Roman"/>
          <w:b/>
          <w:bCs/>
          <w:iCs/>
          <w:sz w:val="24"/>
          <w:szCs w:val="24"/>
        </w:rPr>
        <w:t>Pensión de Jubilación</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Cuantía y Liquidación: </w:t>
      </w:r>
      <w:r w:rsidRPr="00AB3F5C">
        <w:rPr>
          <w:rFonts w:ascii="Times New Roman" w:hAnsi="Times New Roman" w:cs="Times New Roman"/>
          <w:sz w:val="24"/>
          <w:szCs w:val="24"/>
        </w:rPr>
        <w:t>75% del promedio salarial mensual devengado durante los 12 meses anteriores a la fecha de consolidación del derecho</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Exigencias Legales: </w:t>
      </w:r>
      <w:r w:rsidRPr="00AB3F5C">
        <w:rPr>
          <w:rFonts w:ascii="Times New Roman" w:hAnsi="Times New Roman" w:cs="Times New Roman"/>
          <w:sz w:val="24"/>
          <w:szCs w:val="24"/>
        </w:rPr>
        <w:t>55 años de edad y 20 años de servicio docente</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Normatividad: </w:t>
      </w:r>
      <w:r w:rsidRPr="00AB3F5C">
        <w:rPr>
          <w:rFonts w:ascii="Times New Roman" w:hAnsi="Times New Roman" w:cs="Times New Roman"/>
          <w:sz w:val="24"/>
          <w:szCs w:val="24"/>
        </w:rPr>
        <w:t>Leyes 33 de 1985, 91 de 1989, Ley 812 de 2003, Acto Legislativo 01 de 2005 y Sentencia de Unificación Jurisprudencial del Consejo de Estado de 4 de agosto de 2010, con número Interno 112.</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pStyle w:val="Prrafodelista"/>
        <w:numPr>
          <w:ilvl w:val="0"/>
          <w:numId w:val="2"/>
        </w:numPr>
        <w:autoSpaceDE w:val="0"/>
        <w:autoSpaceDN w:val="0"/>
        <w:adjustRightInd w:val="0"/>
        <w:spacing w:after="0" w:line="360" w:lineRule="auto"/>
        <w:jc w:val="both"/>
        <w:rPr>
          <w:rFonts w:ascii="Times New Roman" w:hAnsi="Times New Roman" w:cs="Times New Roman"/>
          <w:b/>
          <w:bCs/>
          <w:sz w:val="24"/>
          <w:szCs w:val="24"/>
        </w:rPr>
      </w:pPr>
      <w:r w:rsidRPr="00AB3F5C">
        <w:rPr>
          <w:rFonts w:ascii="Times New Roman" w:hAnsi="Times New Roman" w:cs="Times New Roman"/>
          <w:b/>
          <w:bCs/>
          <w:sz w:val="24"/>
          <w:szCs w:val="24"/>
        </w:rPr>
        <w:t>Pensión de Vejez:</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Cuantía y Liquidación: </w:t>
      </w:r>
      <w:r w:rsidRPr="00AB3F5C">
        <w:rPr>
          <w:rFonts w:ascii="Times New Roman" w:hAnsi="Times New Roman" w:cs="Times New Roman"/>
          <w:sz w:val="24"/>
          <w:szCs w:val="24"/>
        </w:rPr>
        <w:t>Por las primeras 1000 semanas de cotización el 65% del IBC y por cada 50 semanas adicionales hasta las 1200 el 2% llegando al 73%; por cada 50 semanas adicionales a las 1200 hasta las 1400 el porcentaje se incrementará en 3% hasta completar un monto máximo del 85%. [1400 semanas = 85% del IBC]. Con 1300 semanas de cotización la pensión es del 79% del IBC.</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La pensión se adquiere en el año 2012 con 1225 semanas de cotización; en el año 2013 con 1250 semanas de cotización; en el año 2014 con 1275 semanas de cotización; y en el año 2015 y posteriores con 1300 semanas de cotización</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Exigencias Legales: </w:t>
      </w:r>
      <w:r w:rsidRPr="00AB3F5C">
        <w:rPr>
          <w:rFonts w:ascii="Times New Roman" w:hAnsi="Times New Roman" w:cs="Times New Roman"/>
          <w:sz w:val="24"/>
          <w:szCs w:val="24"/>
        </w:rPr>
        <w:t>57 años de edad y el cumplimiento de la densidad de semanas de cotización</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Normatividad: </w:t>
      </w:r>
      <w:r w:rsidRPr="00AB3F5C">
        <w:rPr>
          <w:rFonts w:ascii="Times New Roman" w:hAnsi="Times New Roman" w:cs="Times New Roman"/>
          <w:sz w:val="24"/>
          <w:szCs w:val="24"/>
        </w:rPr>
        <w:t xml:space="preserve">Art. 33 y ss. </w:t>
      </w:r>
      <w:proofErr w:type="gramStart"/>
      <w:r w:rsidRPr="00AB3F5C">
        <w:rPr>
          <w:rFonts w:ascii="Times New Roman" w:hAnsi="Times New Roman" w:cs="Times New Roman"/>
          <w:sz w:val="24"/>
          <w:szCs w:val="24"/>
        </w:rPr>
        <w:t>de</w:t>
      </w:r>
      <w:proofErr w:type="gramEnd"/>
      <w:r w:rsidRPr="00AB3F5C">
        <w:rPr>
          <w:rFonts w:ascii="Times New Roman" w:hAnsi="Times New Roman" w:cs="Times New Roman"/>
          <w:sz w:val="24"/>
          <w:szCs w:val="24"/>
        </w:rPr>
        <w:t xml:space="preserve"> la Ley 100 de 1993 con la modificación de la Ley</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sz w:val="24"/>
          <w:szCs w:val="24"/>
        </w:rPr>
        <w:t>797 de 2002</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Indemnización Sustitutiva de Pensión: </w:t>
      </w:r>
      <w:r w:rsidRPr="00AB3F5C">
        <w:rPr>
          <w:rFonts w:ascii="Times New Roman" w:hAnsi="Times New Roman" w:cs="Times New Roman"/>
          <w:sz w:val="24"/>
          <w:szCs w:val="24"/>
        </w:rPr>
        <w:t xml:space="preserve">Cuando el docente no cumpla los requisitos para el reconocimiento de la pensión tiene derecho al reconocimiento de la indemnización sustitutiva de pensión equivalente a un salario base de liquidación promedio semanal </w:t>
      </w:r>
      <w:r w:rsidRPr="00AB3F5C">
        <w:rPr>
          <w:rFonts w:ascii="Times New Roman" w:hAnsi="Times New Roman" w:cs="Times New Roman"/>
          <w:sz w:val="24"/>
          <w:szCs w:val="24"/>
        </w:rPr>
        <w:lastRenderedPageBreak/>
        <w:t>multiplicado por el número de semanas cotizadas y a este resultado se le aplica el promedio ponderado de los porcentajes sobre los cuales haya cotizado. (Art. 37 Ley 100 de 1993 y sus modificaciones)</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p>
    <w:p w:rsidR="00140FBC" w:rsidRPr="00AB3F5C" w:rsidRDefault="00140FBC" w:rsidP="004D1D17">
      <w:pPr>
        <w:pStyle w:val="Prrafodelista"/>
        <w:numPr>
          <w:ilvl w:val="0"/>
          <w:numId w:val="2"/>
        </w:numPr>
        <w:autoSpaceDE w:val="0"/>
        <w:autoSpaceDN w:val="0"/>
        <w:adjustRightInd w:val="0"/>
        <w:spacing w:after="0" w:line="360" w:lineRule="auto"/>
        <w:jc w:val="both"/>
        <w:rPr>
          <w:rFonts w:ascii="Times New Roman" w:hAnsi="Times New Roman" w:cs="Times New Roman"/>
          <w:b/>
          <w:bCs/>
          <w:iCs/>
          <w:sz w:val="24"/>
          <w:szCs w:val="24"/>
        </w:rPr>
      </w:pPr>
      <w:r w:rsidRPr="00AB3F5C">
        <w:rPr>
          <w:rFonts w:ascii="Times New Roman" w:hAnsi="Times New Roman" w:cs="Times New Roman"/>
          <w:b/>
          <w:bCs/>
          <w:iCs/>
          <w:sz w:val="24"/>
          <w:szCs w:val="24"/>
        </w:rPr>
        <w:t>Pensión de Retiro por Vejez</w:t>
      </w:r>
    </w:p>
    <w:p w:rsidR="00140FBC" w:rsidRPr="00AB3F5C" w:rsidRDefault="00140FBC" w:rsidP="004D1D17">
      <w:pPr>
        <w:autoSpaceDE w:val="0"/>
        <w:autoSpaceDN w:val="0"/>
        <w:adjustRightInd w:val="0"/>
        <w:spacing w:after="0" w:line="360" w:lineRule="auto"/>
        <w:jc w:val="both"/>
        <w:rPr>
          <w:rFonts w:ascii="Times New Roman" w:hAnsi="Times New Roman" w:cs="Times New Roman"/>
          <w:b/>
          <w:bCs/>
          <w:sz w:val="24"/>
          <w:szCs w:val="24"/>
        </w:rPr>
      </w:pPr>
      <w:r w:rsidRPr="00AB3F5C">
        <w:rPr>
          <w:rFonts w:ascii="Times New Roman" w:hAnsi="Times New Roman" w:cs="Times New Roman"/>
          <w:b/>
          <w:bCs/>
          <w:sz w:val="24"/>
          <w:szCs w:val="24"/>
        </w:rPr>
        <w:t xml:space="preserve">Cuantía y Liquidación: 20% </w:t>
      </w:r>
      <w:r w:rsidRPr="00AB3F5C">
        <w:rPr>
          <w:rFonts w:ascii="Times New Roman" w:hAnsi="Times New Roman" w:cs="Times New Roman"/>
          <w:sz w:val="24"/>
          <w:szCs w:val="24"/>
        </w:rPr>
        <w:t xml:space="preserve">del último salario mensual devengado y un </w:t>
      </w:r>
      <w:r w:rsidRPr="00AB3F5C">
        <w:rPr>
          <w:rFonts w:ascii="Times New Roman" w:hAnsi="Times New Roman" w:cs="Times New Roman"/>
          <w:b/>
          <w:bCs/>
          <w:sz w:val="24"/>
          <w:szCs w:val="24"/>
        </w:rPr>
        <w:t xml:space="preserve">2% </w:t>
      </w:r>
      <w:r w:rsidRPr="00AB3F5C">
        <w:rPr>
          <w:rFonts w:ascii="Times New Roman" w:hAnsi="Times New Roman" w:cs="Times New Roman"/>
          <w:sz w:val="24"/>
          <w:szCs w:val="24"/>
        </w:rPr>
        <w:t>más por cada año de servicios, siempre que el docente</w:t>
      </w:r>
      <w:r w:rsidRPr="00AB3F5C">
        <w:rPr>
          <w:rFonts w:ascii="Times New Roman" w:hAnsi="Times New Roman" w:cs="Times New Roman"/>
          <w:b/>
          <w:bCs/>
          <w:sz w:val="24"/>
          <w:szCs w:val="24"/>
        </w:rPr>
        <w:t xml:space="preserve"> </w:t>
      </w:r>
      <w:r w:rsidRPr="00AB3F5C">
        <w:rPr>
          <w:rFonts w:ascii="Times New Roman" w:hAnsi="Times New Roman" w:cs="Times New Roman"/>
          <w:sz w:val="24"/>
          <w:szCs w:val="24"/>
        </w:rPr>
        <w:t>carezca de recursos para su congrua subsistencia</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Exigencias Legales: </w:t>
      </w:r>
      <w:r w:rsidRPr="00AB3F5C">
        <w:rPr>
          <w:rFonts w:ascii="Times New Roman" w:hAnsi="Times New Roman" w:cs="Times New Roman"/>
          <w:sz w:val="24"/>
          <w:szCs w:val="24"/>
        </w:rPr>
        <w:t xml:space="preserve">El docente que sea retirado del servicio por haber llegado a la edad de 65 años y no reúna los requisitos necesarios para tener derecho a pensión de jubilación o de invalidez. Solo podrá ser retirado del servicio docente una vez le sea consignada la mesada pensional sentencias </w:t>
      </w:r>
      <w:r w:rsidRPr="00AB3F5C">
        <w:rPr>
          <w:rFonts w:ascii="Times New Roman" w:hAnsi="Times New Roman" w:cs="Times New Roman"/>
          <w:b/>
          <w:bCs/>
          <w:sz w:val="24"/>
          <w:szCs w:val="24"/>
        </w:rPr>
        <w:t xml:space="preserve">T-012-09 y T-038-12 </w:t>
      </w:r>
      <w:r w:rsidRPr="00AB3F5C">
        <w:rPr>
          <w:rFonts w:ascii="Times New Roman" w:hAnsi="Times New Roman" w:cs="Times New Roman"/>
          <w:bCs/>
          <w:sz w:val="24"/>
          <w:szCs w:val="24"/>
        </w:rPr>
        <w:t>de la Corte Constitucional.</w:t>
      </w:r>
    </w:p>
    <w:p w:rsidR="00140FBC" w:rsidRPr="00AB3F5C" w:rsidRDefault="00140FBC" w:rsidP="004D1D17">
      <w:pPr>
        <w:autoSpaceDE w:val="0"/>
        <w:autoSpaceDN w:val="0"/>
        <w:adjustRightInd w:val="0"/>
        <w:spacing w:after="0" w:line="360" w:lineRule="auto"/>
        <w:jc w:val="both"/>
        <w:rPr>
          <w:rFonts w:ascii="Times New Roman" w:hAnsi="Times New Roman" w:cs="Times New Roman"/>
          <w:b/>
          <w:bCs/>
          <w:sz w:val="24"/>
          <w:szCs w:val="24"/>
        </w:rPr>
      </w:pP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rPr>
      </w:pPr>
      <w:r w:rsidRPr="00AB3F5C">
        <w:rPr>
          <w:rFonts w:ascii="Times New Roman" w:hAnsi="Times New Roman" w:cs="Times New Roman"/>
          <w:b/>
          <w:bCs/>
          <w:sz w:val="24"/>
          <w:szCs w:val="24"/>
        </w:rPr>
        <w:t xml:space="preserve">Normatividad: </w:t>
      </w:r>
      <w:r w:rsidRPr="00AB3F5C">
        <w:rPr>
          <w:rFonts w:ascii="Times New Roman" w:hAnsi="Times New Roman" w:cs="Times New Roman"/>
          <w:sz w:val="24"/>
          <w:szCs w:val="24"/>
        </w:rPr>
        <w:t>Decretos 3135 de 1968 (art. 29</w:t>
      </w:r>
      <w:proofErr w:type="gramStart"/>
      <w:r w:rsidRPr="00AB3F5C">
        <w:rPr>
          <w:rFonts w:ascii="Times New Roman" w:hAnsi="Times New Roman" w:cs="Times New Roman"/>
          <w:sz w:val="24"/>
          <w:szCs w:val="24"/>
        </w:rPr>
        <w:t>)y</w:t>
      </w:r>
      <w:proofErr w:type="gramEnd"/>
      <w:r w:rsidRPr="00AB3F5C">
        <w:rPr>
          <w:rFonts w:ascii="Times New Roman" w:hAnsi="Times New Roman" w:cs="Times New Roman"/>
          <w:sz w:val="24"/>
          <w:szCs w:val="24"/>
        </w:rPr>
        <w:t xml:space="preserve"> 1848 de 1969 (arts.81 al 85),</w:t>
      </w:r>
    </w:p>
    <w:p w:rsidR="00140FBC" w:rsidRPr="00AB3F5C" w:rsidRDefault="00140FBC" w:rsidP="004D1D17">
      <w:pPr>
        <w:autoSpaceDE w:val="0"/>
        <w:autoSpaceDN w:val="0"/>
        <w:adjustRightInd w:val="0"/>
        <w:spacing w:after="0" w:line="360" w:lineRule="auto"/>
        <w:jc w:val="both"/>
        <w:rPr>
          <w:rFonts w:ascii="Times New Roman" w:hAnsi="Times New Roman" w:cs="Times New Roman"/>
          <w:sz w:val="24"/>
          <w:szCs w:val="24"/>
          <w:lang w:val="es-ES"/>
        </w:rPr>
      </w:pPr>
      <w:r w:rsidRPr="00AB3F5C">
        <w:rPr>
          <w:rFonts w:ascii="Times New Roman" w:hAnsi="Times New Roman" w:cs="Times New Roman"/>
          <w:sz w:val="24"/>
          <w:szCs w:val="24"/>
        </w:rPr>
        <w:t>Leyes 91 de 1989, 812 de 2003 y A. L. 01 de 2005</w:t>
      </w:r>
      <w:r w:rsidRPr="00AB3F5C">
        <w:rPr>
          <w:rFonts w:ascii="Times New Roman" w:hAnsi="Times New Roman" w:cs="Times New Roman"/>
          <w:sz w:val="24"/>
          <w:szCs w:val="24"/>
          <w:lang w:val="es-ES"/>
        </w:rPr>
        <w:t>.</w:t>
      </w:r>
    </w:p>
    <w:p w:rsidR="00140FBC" w:rsidRPr="00AB3F5C" w:rsidRDefault="00140FBC" w:rsidP="004D1D17">
      <w:pPr>
        <w:autoSpaceDE w:val="0"/>
        <w:autoSpaceDN w:val="0"/>
        <w:adjustRightInd w:val="0"/>
        <w:spacing w:after="0" w:line="360" w:lineRule="auto"/>
        <w:jc w:val="both"/>
        <w:rPr>
          <w:rFonts w:ascii="Times New Roman" w:hAnsi="Times New Roman" w:cs="Times New Roman"/>
          <w:b/>
          <w:sz w:val="24"/>
          <w:szCs w:val="24"/>
          <w:lang w:val="es-ES"/>
        </w:rPr>
      </w:pPr>
    </w:p>
    <w:p w:rsidR="00140FBC" w:rsidRPr="00AB3F5C" w:rsidRDefault="00140FBC" w:rsidP="004D1D17">
      <w:pPr>
        <w:pStyle w:val="Prrafodelista"/>
        <w:numPr>
          <w:ilvl w:val="1"/>
          <w:numId w:val="1"/>
        </w:numPr>
        <w:autoSpaceDE w:val="0"/>
        <w:autoSpaceDN w:val="0"/>
        <w:adjustRightInd w:val="0"/>
        <w:spacing w:after="0"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 xml:space="preserve"> Garantías Pensionales:</w:t>
      </w:r>
    </w:p>
    <w:p w:rsidR="00140FBC" w:rsidRPr="00AB3F5C" w:rsidRDefault="00140FBC" w:rsidP="004D1D17">
      <w:pPr>
        <w:pStyle w:val="Default"/>
        <w:spacing w:line="360" w:lineRule="auto"/>
        <w:jc w:val="both"/>
        <w:rPr>
          <w:rFonts w:ascii="Times New Roman" w:hAnsi="Times New Roman" w:cs="Times New Roman"/>
          <w:color w:val="auto"/>
        </w:rPr>
      </w:pPr>
      <w:r w:rsidRPr="00AB3F5C">
        <w:rPr>
          <w:rFonts w:ascii="Times New Roman" w:hAnsi="Times New Roman" w:cs="Times New Roman"/>
          <w:color w:val="auto"/>
        </w:rPr>
        <w:t xml:space="preserve">La Constitución Política de Colombia en su artículo 48 reza: </w:t>
      </w:r>
    </w:p>
    <w:p w:rsidR="00140FBC" w:rsidRPr="00AB3F5C" w:rsidRDefault="00140FBC" w:rsidP="004D1D17">
      <w:pPr>
        <w:pStyle w:val="Default"/>
        <w:spacing w:line="360" w:lineRule="auto"/>
        <w:jc w:val="both"/>
        <w:rPr>
          <w:rFonts w:ascii="Times New Roman" w:hAnsi="Times New Roman" w:cs="Times New Roman"/>
          <w:color w:val="auto"/>
        </w:rPr>
      </w:pPr>
    </w:p>
    <w:p w:rsidR="00140FBC" w:rsidRPr="00AB3F5C" w:rsidRDefault="00140FBC" w:rsidP="004D1D17">
      <w:pPr>
        <w:shd w:val="clear" w:color="auto" w:fill="FFFFFF"/>
        <w:spacing w:after="0" w:line="360" w:lineRule="auto"/>
        <w:jc w:val="both"/>
        <w:rPr>
          <w:rFonts w:ascii="Times New Roman" w:hAnsi="Times New Roman" w:cs="Times New Roman"/>
          <w:i/>
          <w:iCs/>
          <w:sz w:val="24"/>
          <w:szCs w:val="24"/>
        </w:rPr>
      </w:pPr>
      <w:r w:rsidRPr="00AB3F5C">
        <w:rPr>
          <w:rFonts w:ascii="Times New Roman" w:hAnsi="Times New Roman" w:cs="Times New Roman"/>
          <w:sz w:val="24"/>
          <w:szCs w:val="24"/>
        </w:rPr>
        <w:t xml:space="preserve">(…) </w:t>
      </w:r>
      <w:r w:rsidRPr="00AB3F5C">
        <w:rPr>
          <w:rFonts w:ascii="Times New Roman" w:hAnsi="Times New Roman" w:cs="Times New Roman"/>
          <w:i/>
          <w:iCs/>
          <w:sz w:val="24"/>
          <w:szCs w:val="24"/>
        </w:rPr>
        <w:t xml:space="preserve">“La seguridad social es un servicio público de carácter obligatorio que se prestará bajo la dirección, coordinación y control del estado, en sujeción a los principios de eficiencia, </w:t>
      </w:r>
      <w:r w:rsidRPr="00AB3F5C">
        <w:rPr>
          <w:rFonts w:ascii="Times New Roman" w:hAnsi="Times New Roman" w:cs="Times New Roman"/>
          <w:i/>
          <w:iCs/>
          <w:sz w:val="24"/>
          <w:szCs w:val="24"/>
          <w:u w:val="single"/>
        </w:rPr>
        <w:t>universalidad y solidaridad,</w:t>
      </w:r>
      <w:r w:rsidRPr="00AB3F5C">
        <w:rPr>
          <w:rFonts w:ascii="Times New Roman" w:hAnsi="Times New Roman" w:cs="Times New Roman"/>
          <w:i/>
          <w:iCs/>
          <w:sz w:val="24"/>
          <w:szCs w:val="24"/>
        </w:rPr>
        <w:t xml:space="preserve"> en los términos que establezca la ley”.</w:t>
      </w:r>
    </w:p>
    <w:p w:rsidR="00140FBC" w:rsidRPr="00AB3F5C" w:rsidRDefault="00140FBC" w:rsidP="004D1D17">
      <w:pPr>
        <w:shd w:val="clear" w:color="auto" w:fill="FFFFFF"/>
        <w:spacing w:after="0" w:line="360" w:lineRule="auto"/>
        <w:jc w:val="both"/>
        <w:rPr>
          <w:rFonts w:ascii="Times New Roman" w:hAnsi="Times New Roman" w:cs="Times New Roman"/>
          <w:i/>
          <w:iCs/>
          <w:sz w:val="24"/>
          <w:szCs w:val="24"/>
        </w:rPr>
      </w:pPr>
    </w:p>
    <w:p w:rsidR="00140FBC" w:rsidRPr="00AB3F5C" w:rsidRDefault="00140FBC" w:rsidP="004D1D17">
      <w:pPr>
        <w:adjustRightInd w:val="0"/>
        <w:spacing w:before="28" w:after="28" w:line="360" w:lineRule="auto"/>
        <w:jc w:val="both"/>
        <w:textAlignment w:val="center"/>
        <w:rPr>
          <w:rFonts w:ascii="Times New Roman" w:hAnsi="Times New Roman" w:cs="Times New Roman"/>
          <w:b/>
          <w:sz w:val="24"/>
          <w:szCs w:val="24"/>
          <w:lang w:val="es-ES_tradnl"/>
        </w:rPr>
      </w:pPr>
      <w:r w:rsidRPr="00AB3F5C">
        <w:rPr>
          <w:rFonts w:ascii="Times New Roman" w:hAnsi="Times New Roman" w:cs="Times New Roman"/>
          <w:b/>
          <w:sz w:val="24"/>
          <w:szCs w:val="24"/>
          <w:lang w:val="es-ES_tradnl"/>
        </w:rPr>
        <w:tab/>
        <w:t>5. Conveniencia del Proyecto de ley:</w:t>
      </w:r>
    </w:p>
    <w:p w:rsidR="00140FBC" w:rsidRPr="00AB3F5C" w:rsidRDefault="00140FBC" w:rsidP="004D1D17">
      <w:pPr>
        <w:pStyle w:val="Default"/>
        <w:spacing w:line="360" w:lineRule="auto"/>
        <w:jc w:val="both"/>
        <w:rPr>
          <w:rFonts w:ascii="Times New Roman" w:hAnsi="Times New Roman" w:cs="Times New Roman"/>
          <w:color w:val="auto"/>
        </w:rPr>
      </w:pPr>
      <w:r w:rsidRPr="00AB3F5C">
        <w:rPr>
          <w:rFonts w:ascii="Times New Roman" w:hAnsi="Times New Roman" w:cs="Times New Roman"/>
          <w:color w:val="auto"/>
        </w:rPr>
        <w:t xml:space="preserve">La Constitución Política de Colombia, atribuye a la Seguridad Social criterios de </w:t>
      </w:r>
      <w:r w:rsidRPr="00AB3F5C">
        <w:rPr>
          <w:rFonts w:ascii="Times New Roman" w:hAnsi="Times New Roman" w:cs="Times New Roman"/>
          <w:b/>
          <w:color w:val="auto"/>
        </w:rPr>
        <w:t>universalidad solidaridad y eficiencia</w:t>
      </w:r>
      <w:r w:rsidRPr="00AB3F5C">
        <w:rPr>
          <w:rFonts w:ascii="Times New Roman" w:hAnsi="Times New Roman" w:cs="Times New Roman"/>
          <w:color w:val="auto"/>
        </w:rPr>
        <w:t xml:space="preserve">. Interpretando de manera extensa el texto del </w:t>
      </w:r>
      <w:r w:rsidRPr="00AB3F5C">
        <w:rPr>
          <w:rFonts w:ascii="Times New Roman" w:hAnsi="Times New Roman" w:cs="Times New Roman"/>
          <w:color w:val="auto"/>
        </w:rPr>
        <w:lastRenderedPageBreak/>
        <w:t>articulado antes descrito, se puede afirmar que no hay armonía entre este y la realidad que viven los pensionados, pues el sistema pensional contributivo en primer lugar no obstante de tardar mucho en llegar a la población colombiana, es muy distante de ser universal.</w:t>
      </w:r>
    </w:p>
    <w:p w:rsidR="00140FBC" w:rsidRPr="00AB3F5C" w:rsidRDefault="00140FBC" w:rsidP="004D1D17">
      <w:pPr>
        <w:adjustRightInd w:val="0"/>
        <w:spacing w:before="28" w:after="28" w:line="360" w:lineRule="auto"/>
        <w:jc w:val="both"/>
        <w:textAlignment w:val="center"/>
        <w:rPr>
          <w:rFonts w:ascii="Times New Roman" w:hAnsi="Times New Roman" w:cs="Times New Roman"/>
          <w:sz w:val="24"/>
          <w:szCs w:val="24"/>
        </w:rPr>
      </w:pPr>
    </w:p>
    <w:p w:rsidR="00140FBC" w:rsidRPr="00AB3F5C" w:rsidRDefault="00140FBC" w:rsidP="004D1D17">
      <w:pPr>
        <w:adjustRightInd w:val="0"/>
        <w:spacing w:before="28" w:after="28" w:line="360" w:lineRule="auto"/>
        <w:jc w:val="both"/>
        <w:textAlignment w:val="center"/>
        <w:rPr>
          <w:rFonts w:ascii="Times New Roman" w:hAnsi="Times New Roman" w:cs="Times New Roman"/>
          <w:sz w:val="24"/>
          <w:szCs w:val="24"/>
        </w:rPr>
      </w:pPr>
      <w:r w:rsidRPr="00AB3F5C">
        <w:rPr>
          <w:rFonts w:ascii="Times New Roman" w:hAnsi="Times New Roman" w:cs="Times New Roman"/>
          <w:sz w:val="24"/>
          <w:szCs w:val="24"/>
        </w:rPr>
        <w:t>De otra parte, el sistema pensional ha de ser solidario en la base de garantizar beneficios básicos a los pensionados, alimentándose de recursos presupuestales, mas no con deducciones de su mesada, como sucede en la actualidad.</w:t>
      </w:r>
    </w:p>
    <w:p w:rsidR="00140FBC" w:rsidRPr="00AB3F5C" w:rsidRDefault="00140FBC" w:rsidP="004D1D17">
      <w:pPr>
        <w:pStyle w:val="Default"/>
        <w:spacing w:line="360" w:lineRule="auto"/>
        <w:jc w:val="both"/>
        <w:rPr>
          <w:rFonts w:ascii="Times New Roman" w:hAnsi="Times New Roman" w:cs="Times New Roman"/>
          <w:color w:val="auto"/>
        </w:rPr>
      </w:pPr>
    </w:p>
    <w:p w:rsidR="00140FBC" w:rsidRPr="00AB3F5C" w:rsidRDefault="00140FBC" w:rsidP="004D1D17">
      <w:pPr>
        <w:pStyle w:val="Default"/>
        <w:spacing w:line="360" w:lineRule="auto"/>
        <w:jc w:val="both"/>
        <w:rPr>
          <w:rFonts w:ascii="Times New Roman" w:hAnsi="Times New Roman" w:cs="Times New Roman"/>
          <w:color w:val="auto"/>
        </w:rPr>
      </w:pPr>
      <w:r w:rsidRPr="00AB3F5C">
        <w:rPr>
          <w:rFonts w:ascii="Times New Roman" w:hAnsi="Times New Roman" w:cs="Times New Roman"/>
          <w:color w:val="auto"/>
        </w:rPr>
        <w:t xml:space="preserve">El artículo 204 de la Ley 100 de 1993 establece que el aporte a realizar por parte de los pensionados será del 12%, si bien es cierto que de allí nace una fuente de ingreso para amparar obligaciones del Estado, no es menos cierto que el imperio de la ley proteja a través del articulado propuesto a un sujeto especial, como es el caso de los adultos mayores. </w:t>
      </w:r>
    </w:p>
    <w:p w:rsidR="00140FBC" w:rsidRPr="00AB3F5C" w:rsidRDefault="00140FBC" w:rsidP="004D1D17">
      <w:pPr>
        <w:pStyle w:val="Default"/>
        <w:spacing w:line="360" w:lineRule="auto"/>
        <w:jc w:val="both"/>
        <w:rPr>
          <w:rFonts w:ascii="Times New Roman" w:hAnsi="Times New Roman" w:cs="Times New Roman"/>
          <w:color w:val="auto"/>
        </w:rPr>
      </w:pPr>
    </w:p>
    <w:p w:rsidR="00140FBC" w:rsidRPr="00AB3F5C" w:rsidRDefault="00140FBC" w:rsidP="004D1D17">
      <w:pPr>
        <w:pStyle w:val="Default"/>
        <w:spacing w:line="360" w:lineRule="auto"/>
        <w:jc w:val="both"/>
        <w:rPr>
          <w:rFonts w:ascii="Times New Roman" w:hAnsi="Times New Roman" w:cs="Times New Roman"/>
          <w:color w:val="auto"/>
        </w:rPr>
      </w:pPr>
      <w:r w:rsidRPr="00AB3F5C">
        <w:rPr>
          <w:rFonts w:ascii="Times New Roman" w:hAnsi="Times New Roman" w:cs="Times New Roman"/>
          <w:color w:val="auto"/>
        </w:rPr>
        <w:t xml:space="preserve">Así las cosas, y de acuerdo a lo previsto en el artículo 48 de la Carta Política, en el cual se establece el régimen de seguridad social, dentro del cual se encuentra el reconocimiento del sistema pensional y en este la pensión de vejez, resulta clara la esencia de la implementación del sistema bajo los principios de eficiencia, universalidad, integralidad, unidad, participación y solidaridad, entendiendo este último como la mutua ayuda entre las personas, las generaciones, los sectores económicos, las regiones y las comunidades cuya iniciativa debe estar en cabeza del Estado. </w:t>
      </w:r>
    </w:p>
    <w:p w:rsidR="00140FBC" w:rsidRPr="00AB3F5C" w:rsidRDefault="00140FBC" w:rsidP="004D1D17">
      <w:pPr>
        <w:adjustRightInd w:val="0"/>
        <w:spacing w:before="28" w:after="28" w:line="360" w:lineRule="auto"/>
        <w:jc w:val="both"/>
        <w:textAlignment w:val="center"/>
        <w:rPr>
          <w:rFonts w:ascii="Times New Roman" w:hAnsi="Times New Roman" w:cs="Times New Roman"/>
          <w:sz w:val="24"/>
          <w:szCs w:val="24"/>
        </w:rPr>
      </w:pPr>
    </w:p>
    <w:p w:rsidR="00140FBC" w:rsidRPr="00AB3F5C" w:rsidRDefault="00140FBC" w:rsidP="004D1D17">
      <w:pPr>
        <w:adjustRightInd w:val="0"/>
        <w:spacing w:before="28" w:after="28" w:line="360" w:lineRule="auto"/>
        <w:jc w:val="both"/>
        <w:textAlignment w:val="center"/>
        <w:rPr>
          <w:rFonts w:ascii="Times New Roman" w:hAnsi="Times New Roman" w:cs="Times New Roman"/>
          <w:sz w:val="24"/>
          <w:szCs w:val="24"/>
        </w:rPr>
      </w:pPr>
      <w:r w:rsidRPr="00AB3F5C">
        <w:rPr>
          <w:rFonts w:ascii="Times New Roman" w:hAnsi="Times New Roman" w:cs="Times New Roman"/>
          <w:sz w:val="24"/>
          <w:szCs w:val="24"/>
        </w:rPr>
        <w:t xml:space="preserve">Es por ello, que se propone la reducción gradual del aporte de los pensionados para el Sistema de Salud, considerando la problemática y el impacto social, así como las críticas al Sistema General de Pensiones, en especial por quienes han logrado acceder a este beneficio luego de dedicar mucho tiempo a laborar arduamente para beneficiarse posteriormente de la anhelada pensión, y con el objetivo de la </w:t>
      </w:r>
      <w:r w:rsidRPr="00AB3F5C">
        <w:rPr>
          <w:rFonts w:ascii="Times New Roman" w:hAnsi="Times New Roman" w:cs="Times New Roman"/>
          <w:b/>
          <w:sz w:val="24"/>
          <w:szCs w:val="24"/>
        </w:rPr>
        <w:t xml:space="preserve">DIGNIFICACION DE LA PROFESION </w:t>
      </w:r>
      <w:r w:rsidRPr="00AB3F5C">
        <w:rPr>
          <w:rFonts w:ascii="Times New Roman" w:hAnsi="Times New Roman" w:cs="Times New Roman"/>
          <w:b/>
          <w:sz w:val="24"/>
          <w:szCs w:val="24"/>
        </w:rPr>
        <w:lastRenderedPageBreak/>
        <w:t>DOCENTE,</w:t>
      </w:r>
      <w:r w:rsidRPr="00AB3F5C">
        <w:rPr>
          <w:rFonts w:ascii="Times New Roman" w:hAnsi="Times New Roman" w:cs="Times New Roman"/>
          <w:sz w:val="24"/>
          <w:szCs w:val="24"/>
        </w:rPr>
        <w:t xml:space="preserve"> es conveniente analizar la propuesta del articulado, toda vez que debe ser objeto de estudio por parte del Legislador los descuentos que se efectúan a las personas jubiladas, en razón a que ellos durante un término mínimo de 20 años realizaron sus aportes; no se concibe como una persona luego de tantos años de aportes al Sistema, subsista con una obligación de la cual se deduce considerablemente (12%), máxime cuando la mayoría de las personas pensionadas devengan un salario mínimo, que no les garantiza en su totalidad su mínimo vital. </w:t>
      </w:r>
    </w:p>
    <w:p w:rsidR="00140FBC" w:rsidRPr="00AB3F5C" w:rsidRDefault="00140FBC" w:rsidP="004D1D17">
      <w:pPr>
        <w:shd w:val="clear" w:color="auto" w:fill="FFFFFF"/>
        <w:spacing w:after="0" w:line="360" w:lineRule="auto"/>
        <w:jc w:val="both"/>
        <w:rPr>
          <w:rFonts w:ascii="Times New Roman" w:hAnsi="Times New Roman" w:cs="Times New Roman"/>
          <w:i/>
          <w:iCs/>
          <w:sz w:val="24"/>
          <w:szCs w:val="24"/>
        </w:rPr>
      </w:pPr>
    </w:p>
    <w:p w:rsidR="00140FBC" w:rsidRPr="00AB3F5C" w:rsidRDefault="00140FBC" w:rsidP="004D1D17">
      <w:pPr>
        <w:spacing w:line="360" w:lineRule="auto"/>
        <w:jc w:val="both"/>
        <w:rPr>
          <w:rFonts w:ascii="Times New Roman" w:hAnsi="Times New Roman" w:cs="Times New Roman"/>
          <w:sz w:val="24"/>
          <w:szCs w:val="24"/>
          <w:lang w:val="es-ES"/>
        </w:rPr>
      </w:pPr>
    </w:p>
    <w:p w:rsidR="00140FBC" w:rsidRPr="00AB3F5C" w:rsidRDefault="00140FBC" w:rsidP="004D1D17">
      <w:pPr>
        <w:spacing w:line="360" w:lineRule="auto"/>
        <w:jc w:val="both"/>
        <w:rPr>
          <w:rFonts w:ascii="Times New Roman" w:hAnsi="Times New Roman" w:cs="Times New Roman"/>
          <w:b/>
          <w:sz w:val="24"/>
          <w:szCs w:val="24"/>
          <w:lang w:val="es-ES"/>
        </w:rPr>
      </w:pPr>
      <w:r w:rsidRPr="00AB3F5C">
        <w:rPr>
          <w:rFonts w:ascii="Times New Roman" w:hAnsi="Times New Roman" w:cs="Times New Roman"/>
          <w:b/>
          <w:sz w:val="24"/>
          <w:szCs w:val="24"/>
          <w:lang w:val="es-ES"/>
        </w:rPr>
        <w:t>De los Honorables Congresistas.</w:t>
      </w:r>
    </w:p>
    <w:p w:rsidR="00140FBC" w:rsidRPr="00AB3F5C" w:rsidRDefault="00140FBC" w:rsidP="004D1D17">
      <w:pPr>
        <w:spacing w:line="360" w:lineRule="auto"/>
        <w:jc w:val="both"/>
        <w:rPr>
          <w:rFonts w:ascii="Times New Roman" w:hAnsi="Times New Roman" w:cs="Times New Roman"/>
          <w:b/>
          <w:sz w:val="24"/>
          <w:szCs w:val="24"/>
          <w:lang w:val="es-ES"/>
        </w:rPr>
      </w:pPr>
    </w:p>
    <w:p w:rsidR="00140FBC" w:rsidRPr="00AB3F5C" w:rsidRDefault="00140FBC" w:rsidP="004D1D17">
      <w:pPr>
        <w:spacing w:after="0"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_________________________</w:t>
      </w:r>
    </w:p>
    <w:p w:rsidR="00140FBC" w:rsidRPr="00AB3F5C" w:rsidRDefault="00140FBC" w:rsidP="004D1D17">
      <w:pPr>
        <w:spacing w:after="0"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SENÉN NIÑO AVENDAÑO</w:t>
      </w:r>
    </w:p>
    <w:p w:rsidR="00140FBC" w:rsidRPr="00AB3F5C" w:rsidRDefault="00140FBC" w:rsidP="004D1D17">
      <w:pPr>
        <w:spacing w:after="0" w:line="360" w:lineRule="auto"/>
        <w:jc w:val="both"/>
        <w:rPr>
          <w:rFonts w:ascii="Times New Roman" w:hAnsi="Times New Roman" w:cs="Times New Roman"/>
          <w:b/>
          <w:sz w:val="24"/>
          <w:szCs w:val="24"/>
        </w:rPr>
      </w:pPr>
      <w:r w:rsidRPr="00AB3F5C">
        <w:rPr>
          <w:rFonts w:ascii="Times New Roman" w:hAnsi="Times New Roman" w:cs="Times New Roman"/>
          <w:b/>
          <w:sz w:val="24"/>
          <w:szCs w:val="24"/>
        </w:rPr>
        <w:t>SENADOR DE LA REPÚBLICA</w:t>
      </w:r>
    </w:p>
    <w:p w:rsidR="00140FBC" w:rsidRPr="00AB3F5C" w:rsidRDefault="00140FBC" w:rsidP="004D1D17">
      <w:pPr>
        <w:shd w:val="clear" w:color="auto" w:fill="FFFFFF"/>
        <w:spacing w:after="0" w:line="360" w:lineRule="auto"/>
        <w:jc w:val="both"/>
        <w:rPr>
          <w:rFonts w:ascii="Times New Roman" w:hAnsi="Times New Roman" w:cs="Times New Roman"/>
          <w:b/>
          <w:iCs/>
          <w:sz w:val="24"/>
          <w:szCs w:val="24"/>
        </w:rPr>
      </w:pPr>
    </w:p>
    <w:p w:rsidR="00140FBC" w:rsidRPr="00AB3F5C" w:rsidRDefault="00140FBC" w:rsidP="004D1D17">
      <w:pPr>
        <w:shd w:val="clear" w:color="auto" w:fill="FFFFFF"/>
        <w:spacing w:after="0" w:line="360" w:lineRule="auto"/>
        <w:jc w:val="both"/>
        <w:rPr>
          <w:rFonts w:ascii="Times New Roman" w:hAnsi="Times New Roman" w:cs="Times New Roman"/>
          <w:i/>
          <w:iCs/>
          <w:sz w:val="24"/>
          <w:szCs w:val="24"/>
        </w:rPr>
      </w:pPr>
    </w:p>
    <w:p w:rsidR="001615A1" w:rsidRPr="00AB3F5C" w:rsidRDefault="001615A1" w:rsidP="004D1D17">
      <w:pPr>
        <w:spacing w:line="360" w:lineRule="auto"/>
        <w:rPr>
          <w:rFonts w:ascii="Times New Roman" w:hAnsi="Times New Roman" w:cs="Times New Roman"/>
          <w:sz w:val="24"/>
          <w:szCs w:val="24"/>
        </w:rPr>
      </w:pPr>
    </w:p>
    <w:sectPr w:rsidR="001615A1" w:rsidRPr="00AB3F5C">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C98" w:rsidRDefault="00806C98" w:rsidP="00140FBC">
      <w:pPr>
        <w:spacing w:after="0" w:line="240" w:lineRule="auto"/>
      </w:pPr>
      <w:r>
        <w:separator/>
      </w:r>
    </w:p>
  </w:endnote>
  <w:endnote w:type="continuationSeparator" w:id="0">
    <w:p w:rsidR="00806C98" w:rsidRDefault="00806C98" w:rsidP="0014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BC" w:rsidRDefault="00140FBC" w:rsidP="00140FBC">
    <w:pPr>
      <w:pStyle w:val="Piedepgina"/>
      <w:tabs>
        <w:tab w:val="left" w:pos="1291"/>
      </w:tabs>
      <w:jc w:val="center"/>
    </w:pPr>
    <w:r>
      <w:rPr>
        <w:noProof/>
        <w:lang w:eastAsia="es-CO"/>
      </w:rPr>
      <w:drawing>
        <wp:inline distT="0" distB="0" distL="0" distR="0" wp14:anchorId="3B08B599" wp14:editId="582B73BD">
          <wp:extent cx="3110865" cy="26289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0865" cy="262890"/>
                  </a:xfrm>
                  <a:prstGeom prst="rect">
                    <a:avLst/>
                  </a:prstGeom>
                  <a:noFill/>
                  <a:ln>
                    <a:noFill/>
                  </a:ln>
                </pic:spPr>
              </pic:pic>
            </a:graphicData>
          </a:graphic>
        </wp:inline>
      </w:drawing>
    </w:r>
  </w:p>
  <w:p w:rsidR="00140FBC" w:rsidRDefault="00140FBC" w:rsidP="00140FBC">
    <w:pPr>
      <w:pStyle w:val="Piedepgina"/>
      <w:jc w:val="center"/>
      <w:rPr>
        <w:rFonts w:ascii="Gill Sans MT" w:hAnsi="Gill Sans MT"/>
        <w:spacing w:val="60"/>
        <w:sz w:val="20"/>
        <w:szCs w:val="20"/>
      </w:rPr>
    </w:pPr>
    <w:r>
      <w:rPr>
        <w:rFonts w:ascii="Gill Sans MT" w:hAnsi="Gill Sans MT"/>
        <w:spacing w:val="60"/>
        <w:sz w:val="20"/>
        <w:szCs w:val="20"/>
      </w:rPr>
      <w:t xml:space="preserve">Edifico Nuevo del Congreso </w:t>
    </w:r>
    <w:proofErr w:type="spellStart"/>
    <w:r>
      <w:rPr>
        <w:rFonts w:ascii="Gill Sans MT" w:hAnsi="Gill Sans MT"/>
        <w:spacing w:val="60"/>
        <w:sz w:val="20"/>
        <w:szCs w:val="20"/>
      </w:rPr>
      <w:t>Cra</w:t>
    </w:r>
    <w:proofErr w:type="spellEnd"/>
    <w:r>
      <w:rPr>
        <w:rFonts w:ascii="Gill Sans MT" w:hAnsi="Gill Sans MT"/>
        <w:spacing w:val="60"/>
        <w:sz w:val="20"/>
        <w:szCs w:val="20"/>
      </w:rPr>
      <w:t xml:space="preserve"> 7ª No 8-68 Oficina: 536</w:t>
    </w:r>
  </w:p>
  <w:p w:rsidR="00140FBC" w:rsidRPr="00107B9C" w:rsidRDefault="00140FBC" w:rsidP="00140FBC">
    <w:pPr>
      <w:pStyle w:val="Piedepgina"/>
      <w:jc w:val="center"/>
      <w:rPr>
        <w:rFonts w:ascii="Gill Sans MT" w:hAnsi="Gill Sans MT"/>
        <w:spacing w:val="60"/>
        <w:sz w:val="20"/>
        <w:szCs w:val="20"/>
        <w:lang w:val="en-US"/>
      </w:rPr>
    </w:pPr>
    <w:r w:rsidRPr="00AC6206">
      <w:rPr>
        <w:rFonts w:ascii="Gill Sans MT" w:hAnsi="Gill Sans MT"/>
        <w:spacing w:val="60"/>
        <w:sz w:val="20"/>
        <w:szCs w:val="20"/>
      </w:rPr>
      <w:t xml:space="preserve"> </w:t>
    </w:r>
    <w:proofErr w:type="spellStart"/>
    <w:r>
      <w:rPr>
        <w:rFonts w:ascii="Gill Sans MT" w:hAnsi="Gill Sans MT"/>
        <w:spacing w:val="60"/>
        <w:sz w:val="20"/>
        <w:szCs w:val="20"/>
        <w:lang w:val="en-US"/>
      </w:rPr>
      <w:t>Tels</w:t>
    </w:r>
    <w:proofErr w:type="spellEnd"/>
    <w:r>
      <w:rPr>
        <w:rFonts w:ascii="Gill Sans MT" w:hAnsi="Gill Sans MT"/>
        <w:spacing w:val="60"/>
        <w:sz w:val="20"/>
        <w:szCs w:val="20"/>
        <w:lang w:val="en-US"/>
      </w:rPr>
      <w:t xml:space="preserve">: 3823519 – </w:t>
    </w:r>
    <w:r w:rsidRPr="00107B9C">
      <w:rPr>
        <w:rFonts w:ascii="Gill Sans MT" w:hAnsi="Gill Sans MT"/>
        <w:spacing w:val="60"/>
        <w:sz w:val="20"/>
        <w:szCs w:val="20"/>
        <w:lang w:val="en-US"/>
      </w:rPr>
      <w:t>382</w:t>
    </w:r>
    <w:r>
      <w:rPr>
        <w:rFonts w:ascii="Gill Sans MT" w:hAnsi="Gill Sans MT"/>
        <w:spacing w:val="60"/>
        <w:sz w:val="20"/>
        <w:szCs w:val="20"/>
        <w:lang w:val="en-US"/>
      </w:rPr>
      <w:t xml:space="preserve">3510 </w:t>
    </w:r>
    <w:r w:rsidRPr="00107B9C">
      <w:rPr>
        <w:rFonts w:ascii="Gill Sans MT" w:hAnsi="Gill Sans MT"/>
        <w:spacing w:val="60"/>
        <w:sz w:val="20"/>
        <w:szCs w:val="20"/>
        <w:lang w:val="en-US"/>
      </w:rPr>
      <w:t xml:space="preserve">Fax: </w:t>
    </w:r>
    <w:r>
      <w:rPr>
        <w:rFonts w:ascii="Gill Sans MT" w:hAnsi="Gill Sans MT"/>
        <w:spacing w:val="60"/>
        <w:sz w:val="20"/>
        <w:szCs w:val="20"/>
        <w:lang w:val="en-US"/>
      </w:rPr>
      <w:t>3823520</w:t>
    </w:r>
  </w:p>
  <w:p w:rsidR="00140FBC" w:rsidRPr="00107B9C" w:rsidRDefault="00796C2E" w:rsidP="00140FBC">
    <w:pPr>
      <w:pStyle w:val="Piedepgina"/>
      <w:jc w:val="center"/>
      <w:rPr>
        <w:color w:val="333333"/>
        <w:sz w:val="20"/>
        <w:szCs w:val="20"/>
        <w:lang w:val="en-US"/>
      </w:rPr>
    </w:pPr>
    <w:hyperlink r:id="rId2" w:history="1">
      <w:r w:rsidR="00140FBC" w:rsidRPr="00054987">
        <w:rPr>
          <w:rStyle w:val="Hipervnculo"/>
          <w:rFonts w:ascii="Gill Sans MT" w:hAnsi="Gill Sans MT"/>
          <w:spacing w:val="60"/>
          <w:sz w:val="20"/>
          <w:szCs w:val="20"/>
          <w:lang w:val="en-US"/>
        </w:rPr>
        <w:t>www.senenadorsenen</w:t>
      </w:r>
    </w:hyperlink>
    <w:r w:rsidR="00140FBC" w:rsidRPr="00107B9C">
      <w:rPr>
        <w:rFonts w:ascii="Gill Sans MT" w:hAnsi="Gill Sans MT"/>
        <w:spacing w:val="60"/>
        <w:sz w:val="20"/>
        <w:szCs w:val="20"/>
        <w:lang w:val="en-US"/>
      </w:rPr>
      <w:t>.com</w:t>
    </w:r>
  </w:p>
  <w:p w:rsidR="00140FBC" w:rsidRDefault="00140F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C98" w:rsidRDefault="00806C98" w:rsidP="00140FBC">
      <w:pPr>
        <w:spacing w:after="0" w:line="240" w:lineRule="auto"/>
      </w:pPr>
      <w:r>
        <w:separator/>
      </w:r>
    </w:p>
  </w:footnote>
  <w:footnote w:type="continuationSeparator" w:id="0">
    <w:p w:rsidR="00806C98" w:rsidRDefault="00806C98" w:rsidP="00140FBC">
      <w:pPr>
        <w:spacing w:after="0" w:line="240" w:lineRule="auto"/>
      </w:pPr>
      <w:r>
        <w:continuationSeparator/>
      </w:r>
    </w:p>
  </w:footnote>
  <w:footnote w:id="1">
    <w:p w:rsidR="00140FBC" w:rsidRPr="004C7D3C" w:rsidRDefault="00140FBC" w:rsidP="00140FBC">
      <w:pPr>
        <w:pStyle w:val="Textonotapie"/>
        <w:rPr>
          <w:rStyle w:val="Refdenotaalpie"/>
          <w:rFonts w:ascii="Times New Roman" w:hAnsi="Times New Roman" w:cs="Times New Roman"/>
        </w:rPr>
      </w:pPr>
      <w:r w:rsidRPr="004C7D3C">
        <w:rPr>
          <w:rStyle w:val="Refdenotaalpie"/>
          <w:rFonts w:ascii="Times New Roman" w:hAnsi="Times New Roman" w:cs="Times New Roman"/>
        </w:rPr>
        <w:footnoteRef/>
      </w:r>
      <w:r w:rsidRPr="004C7D3C">
        <w:rPr>
          <w:rFonts w:ascii="Times New Roman" w:hAnsi="Times New Roman" w:cs="Times New Roman"/>
          <w:vertAlign w:val="superscript"/>
        </w:rPr>
        <w:t xml:space="preserve"> </w:t>
      </w:r>
      <w:r w:rsidRPr="004C7D3C">
        <w:rPr>
          <w:rStyle w:val="Refdenotaalpie"/>
          <w:rFonts w:ascii="Times New Roman" w:hAnsi="Times New Roman" w:cs="Times New Roman"/>
        </w:rPr>
        <w:t>Se entiende como no cotizantes a aquellos afiliados no pensionados, para quienes no se efectuó la cotización obligatoria durante el mes para el cual reporta</w:t>
      </w:r>
    </w:p>
  </w:footnote>
  <w:footnote w:id="2">
    <w:p w:rsidR="00140FBC" w:rsidRPr="004C7D3C" w:rsidRDefault="00140FBC" w:rsidP="00140FBC">
      <w:pPr>
        <w:pStyle w:val="Textonotapie"/>
        <w:rPr>
          <w:rStyle w:val="Refdenotaalpie"/>
          <w:rFonts w:ascii="Times New Roman" w:hAnsi="Times New Roman" w:cs="Times New Roman"/>
        </w:rPr>
      </w:pPr>
      <w:r w:rsidRPr="004C7D3C">
        <w:rPr>
          <w:rStyle w:val="Refdenotaalpie"/>
          <w:rFonts w:ascii="Times New Roman" w:hAnsi="Times New Roman" w:cs="Times New Roman"/>
        </w:rPr>
        <w:footnoteRef/>
      </w:r>
      <w:r w:rsidRPr="004C7D3C">
        <w:rPr>
          <w:rStyle w:val="Refdenotaalpie"/>
          <w:rFonts w:ascii="Times New Roman" w:hAnsi="Times New Roman" w:cs="Times New Roman"/>
        </w:rPr>
        <w:t xml:space="preserve"> El número de afiliados cotizantes a los FPO fue de 5,934.499 y a los FRPM fue 2,129.633.</w:t>
      </w:r>
    </w:p>
  </w:footnote>
  <w:footnote w:id="3">
    <w:p w:rsidR="00140FBC" w:rsidRPr="004C7D3C" w:rsidRDefault="00140FBC" w:rsidP="00140FBC">
      <w:pPr>
        <w:pStyle w:val="Textonotapie"/>
        <w:rPr>
          <w:rStyle w:val="Refdenotaalpie"/>
          <w:rFonts w:ascii="Times New Roman" w:hAnsi="Times New Roman" w:cs="Times New Roman"/>
        </w:rPr>
      </w:pPr>
      <w:r w:rsidRPr="004C7D3C">
        <w:rPr>
          <w:rStyle w:val="Refdenotaalpie"/>
          <w:rFonts w:ascii="Times New Roman" w:hAnsi="Times New Roman" w:cs="Times New Roman"/>
        </w:rPr>
        <w:footnoteRef/>
      </w:r>
      <w:r w:rsidRPr="004C7D3C">
        <w:rPr>
          <w:rStyle w:val="Refdenotaalpie"/>
          <w:rFonts w:ascii="Times New Roman" w:hAnsi="Times New Roman" w:cs="Times New Roman"/>
        </w:rPr>
        <w:t xml:space="preserve"> Los afiliados inactivos son aquellos que no han efectuado cotizaciones en por lo menos los últimos seis meses.</w:t>
      </w:r>
    </w:p>
  </w:footnote>
  <w:footnote w:id="4">
    <w:p w:rsidR="00140FBC" w:rsidRPr="004C7D3C" w:rsidRDefault="00140FBC" w:rsidP="00140FBC">
      <w:pPr>
        <w:pStyle w:val="Textonotapie"/>
        <w:rPr>
          <w:rStyle w:val="Refdenotaalpie"/>
          <w:rFonts w:ascii="Times New Roman" w:hAnsi="Times New Roman" w:cs="Times New Roman"/>
        </w:rPr>
      </w:pPr>
      <w:r w:rsidRPr="004C7D3C">
        <w:rPr>
          <w:rStyle w:val="Refdenotaalpie"/>
          <w:rFonts w:ascii="Times New Roman" w:hAnsi="Times New Roman" w:cs="Times New Roman"/>
        </w:rPr>
        <w:footnoteRef/>
      </w:r>
      <w:r w:rsidRPr="004C7D3C">
        <w:rPr>
          <w:rStyle w:val="Refdenotaalpie"/>
          <w:rFonts w:ascii="Times New Roman" w:hAnsi="Times New Roman" w:cs="Times New Roman"/>
        </w:rPr>
        <w:t xml:space="preserve"> El número de afiliados activos a los FPO fue de 7,239.884 y a COLPENSIONES fue 2,592.760.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BC" w:rsidRDefault="00140FBC" w:rsidP="00140FBC">
    <w:pPr>
      <w:pStyle w:val="Encabezado"/>
      <w:jc w:val="center"/>
    </w:pPr>
    <w:r>
      <w:rPr>
        <w:noProof/>
        <w:szCs w:val="18"/>
        <w:lang w:eastAsia="es-CO"/>
      </w:rPr>
      <w:drawing>
        <wp:inline distT="0" distB="0" distL="0" distR="0" wp14:anchorId="0DA69424" wp14:editId="4A8DEDA3">
          <wp:extent cx="2830286" cy="849086"/>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0568" cy="849171"/>
                  </a:xfrm>
                  <a:prstGeom prst="rect">
                    <a:avLst/>
                  </a:prstGeom>
                  <a:noFill/>
                  <a:ln>
                    <a:noFill/>
                  </a:ln>
                </pic:spPr>
              </pic:pic>
            </a:graphicData>
          </a:graphic>
        </wp:inline>
      </w:drawing>
    </w:r>
  </w:p>
  <w:p w:rsidR="00140FBC" w:rsidRDefault="00140FBC" w:rsidP="00140FBC">
    <w:pPr>
      <w:pStyle w:val="Encabezado"/>
      <w:jc w:val="center"/>
      <w:rPr>
        <w:rFonts w:ascii="Century" w:hAnsi="Century"/>
        <w:i/>
        <w:sz w:val="24"/>
        <w:szCs w:val="24"/>
      </w:rPr>
    </w:pPr>
    <w:r>
      <w:rPr>
        <w:rFonts w:ascii="Century" w:hAnsi="Century"/>
        <w:i/>
        <w:sz w:val="24"/>
        <w:szCs w:val="24"/>
      </w:rPr>
      <w:t xml:space="preserve">Senén Niño Avendaño </w:t>
    </w:r>
  </w:p>
  <w:p w:rsidR="00140FBC" w:rsidRDefault="00140FBC" w:rsidP="00140FBC">
    <w:pPr>
      <w:pStyle w:val="Encabezado"/>
      <w:jc w:val="center"/>
      <w:rPr>
        <w:rFonts w:ascii="Century" w:hAnsi="Century"/>
        <w:i/>
        <w:sz w:val="24"/>
        <w:szCs w:val="24"/>
      </w:rPr>
    </w:pPr>
    <w:r>
      <w:rPr>
        <w:rFonts w:ascii="Century" w:hAnsi="Century"/>
        <w:i/>
        <w:sz w:val="24"/>
        <w:szCs w:val="24"/>
      </w:rPr>
      <w:t>Senador de la República</w:t>
    </w:r>
  </w:p>
  <w:p w:rsidR="00140FBC" w:rsidRDefault="00140FBC" w:rsidP="00140FBC">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C54D5"/>
    <w:multiLevelType w:val="hybridMultilevel"/>
    <w:tmpl w:val="55621D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5F03365C"/>
    <w:multiLevelType w:val="multilevel"/>
    <w:tmpl w:val="E7FAF3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FBC"/>
    <w:rsid w:val="00140FBC"/>
    <w:rsid w:val="001615A1"/>
    <w:rsid w:val="002E5D48"/>
    <w:rsid w:val="004D1D17"/>
    <w:rsid w:val="00745AAB"/>
    <w:rsid w:val="00796C2E"/>
    <w:rsid w:val="00806C98"/>
    <w:rsid w:val="00AB3F5C"/>
    <w:rsid w:val="00D829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F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140FBC"/>
    <w:pPr>
      <w:spacing w:after="0" w:line="240" w:lineRule="auto"/>
    </w:pPr>
    <w:rPr>
      <w:sz w:val="20"/>
      <w:szCs w:val="20"/>
    </w:rPr>
  </w:style>
  <w:style w:type="character" w:customStyle="1" w:styleId="TextonotapieCar">
    <w:name w:val="Texto nota pie Car"/>
    <w:basedOn w:val="Fuentedeprrafopredeter"/>
    <w:link w:val="Textonotapie"/>
    <w:uiPriority w:val="99"/>
    <w:rsid w:val="00140FBC"/>
    <w:rPr>
      <w:sz w:val="20"/>
      <w:szCs w:val="20"/>
    </w:rPr>
  </w:style>
  <w:style w:type="character" w:styleId="Refdenotaalpie">
    <w:name w:val="footnote reference"/>
    <w:basedOn w:val="Fuentedeprrafopredeter"/>
    <w:uiPriority w:val="99"/>
    <w:unhideWhenUsed/>
    <w:rsid w:val="00140FBC"/>
    <w:rPr>
      <w:vertAlign w:val="superscript"/>
    </w:rPr>
  </w:style>
  <w:style w:type="paragraph" w:styleId="Prrafodelista">
    <w:name w:val="List Paragraph"/>
    <w:basedOn w:val="Normal"/>
    <w:uiPriority w:val="34"/>
    <w:qFormat/>
    <w:rsid w:val="00140FBC"/>
    <w:pPr>
      <w:ind w:left="720"/>
      <w:contextualSpacing/>
    </w:pPr>
  </w:style>
  <w:style w:type="character" w:styleId="Textoennegrita">
    <w:name w:val="Strong"/>
    <w:basedOn w:val="Fuentedeprrafopredeter"/>
    <w:uiPriority w:val="22"/>
    <w:qFormat/>
    <w:rsid w:val="00140FBC"/>
    <w:rPr>
      <w:b/>
      <w:bCs/>
    </w:rPr>
  </w:style>
  <w:style w:type="character" w:styleId="Hipervnculo">
    <w:name w:val="Hyperlink"/>
    <w:basedOn w:val="Fuentedeprrafopredeter"/>
    <w:uiPriority w:val="99"/>
    <w:unhideWhenUsed/>
    <w:rsid w:val="00140FBC"/>
    <w:rPr>
      <w:color w:val="0000FF"/>
      <w:u w:val="single"/>
    </w:rPr>
  </w:style>
  <w:style w:type="character" w:styleId="nfasis">
    <w:name w:val="Emphasis"/>
    <w:basedOn w:val="Fuentedeprrafopredeter"/>
    <w:uiPriority w:val="20"/>
    <w:qFormat/>
    <w:rsid w:val="00140FBC"/>
    <w:rPr>
      <w:i/>
      <w:iCs/>
    </w:rPr>
  </w:style>
  <w:style w:type="paragraph" w:customStyle="1" w:styleId="Default">
    <w:name w:val="Default"/>
    <w:rsid w:val="00140FBC"/>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140F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0FBC"/>
  </w:style>
  <w:style w:type="paragraph" w:styleId="Piedepgina">
    <w:name w:val="footer"/>
    <w:basedOn w:val="Normal"/>
    <w:link w:val="PiedepginaCar"/>
    <w:unhideWhenUsed/>
    <w:rsid w:val="00140FBC"/>
    <w:pPr>
      <w:tabs>
        <w:tab w:val="center" w:pos="4419"/>
        <w:tab w:val="right" w:pos="8838"/>
      </w:tabs>
      <w:spacing w:after="0" w:line="240" w:lineRule="auto"/>
    </w:pPr>
  </w:style>
  <w:style w:type="character" w:customStyle="1" w:styleId="PiedepginaCar">
    <w:name w:val="Pie de página Car"/>
    <w:basedOn w:val="Fuentedeprrafopredeter"/>
    <w:link w:val="Piedepgina"/>
    <w:rsid w:val="00140FBC"/>
  </w:style>
  <w:style w:type="paragraph" w:styleId="Textodeglobo">
    <w:name w:val="Balloon Text"/>
    <w:basedOn w:val="Normal"/>
    <w:link w:val="TextodegloboCar"/>
    <w:uiPriority w:val="99"/>
    <w:semiHidden/>
    <w:unhideWhenUsed/>
    <w:rsid w:val="00140F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40F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F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140FBC"/>
    <w:pPr>
      <w:spacing w:after="0" w:line="240" w:lineRule="auto"/>
    </w:pPr>
    <w:rPr>
      <w:sz w:val="20"/>
      <w:szCs w:val="20"/>
    </w:rPr>
  </w:style>
  <w:style w:type="character" w:customStyle="1" w:styleId="TextonotapieCar">
    <w:name w:val="Texto nota pie Car"/>
    <w:basedOn w:val="Fuentedeprrafopredeter"/>
    <w:link w:val="Textonotapie"/>
    <w:uiPriority w:val="99"/>
    <w:rsid w:val="00140FBC"/>
    <w:rPr>
      <w:sz w:val="20"/>
      <w:szCs w:val="20"/>
    </w:rPr>
  </w:style>
  <w:style w:type="character" w:styleId="Refdenotaalpie">
    <w:name w:val="footnote reference"/>
    <w:basedOn w:val="Fuentedeprrafopredeter"/>
    <w:uiPriority w:val="99"/>
    <w:unhideWhenUsed/>
    <w:rsid w:val="00140FBC"/>
    <w:rPr>
      <w:vertAlign w:val="superscript"/>
    </w:rPr>
  </w:style>
  <w:style w:type="paragraph" w:styleId="Prrafodelista">
    <w:name w:val="List Paragraph"/>
    <w:basedOn w:val="Normal"/>
    <w:uiPriority w:val="34"/>
    <w:qFormat/>
    <w:rsid w:val="00140FBC"/>
    <w:pPr>
      <w:ind w:left="720"/>
      <w:contextualSpacing/>
    </w:pPr>
  </w:style>
  <w:style w:type="character" w:styleId="Textoennegrita">
    <w:name w:val="Strong"/>
    <w:basedOn w:val="Fuentedeprrafopredeter"/>
    <w:uiPriority w:val="22"/>
    <w:qFormat/>
    <w:rsid w:val="00140FBC"/>
    <w:rPr>
      <w:b/>
      <w:bCs/>
    </w:rPr>
  </w:style>
  <w:style w:type="character" w:styleId="Hipervnculo">
    <w:name w:val="Hyperlink"/>
    <w:basedOn w:val="Fuentedeprrafopredeter"/>
    <w:uiPriority w:val="99"/>
    <w:unhideWhenUsed/>
    <w:rsid w:val="00140FBC"/>
    <w:rPr>
      <w:color w:val="0000FF"/>
      <w:u w:val="single"/>
    </w:rPr>
  </w:style>
  <w:style w:type="character" w:styleId="nfasis">
    <w:name w:val="Emphasis"/>
    <w:basedOn w:val="Fuentedeprrafopredeter"/>
    <w:uiPriority w:val="20"/>
    <w:qFormat/>
    <w:rsid w:val="00140FBC"/>
    <w:rPr>
      <w:i/>
      <w:iCs/>
    </w:rPr>
  </w:style>
  <w:style w:type="paragraph" w:customStyle="1" w:styleId="Default">
    <w:name w:val="Default"/>
    <w:rsid w:val="00140FBC"/>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140F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0FBC"/>
  </w:style>
  <w:style w:type="paragraph" w:styleId="Piedepgina">
    <w:name w:val="footer"/>
    <w:basedOn w:val="Normal"/>
    <w:link w:val="PiedepginaCar"/>
    <w:unhideWhenUsed/>
    <w:rsid w:val="00140FBC"/>
    <w:pPr>
      <w:tabs>
        <w:tab w:val="center" w:pos="4419"/>
        <w:tab w:val="right" w:pos="8838"/>
      </w:tabs>
      <w:spacing w:after="0" w:line="240" w:lineRule="auto"/>
    </w:pPr>
  </w:style>
  <w:style w:type="character" w:customStyle="1" w:styleId="PiedepginaCar">
    <w:name w:val="Pie de página Car"/>
    <w:basedOn w:val="Fuentedeprrafopredeter"/>
    <w:link w:val="Piedepgina"/>
    <w:rsid w:val="00140FBC"/>
  </w:style>
  <w:style w:type="paragraph" w:styleId="Textodeglobo">
    <w:name w:val="Balloon Text"/>
    <w:basedOn w:val="Normal"/>
    <w:link w:val="TextodegloboCar"/>
    <w:uiPriority w:val="99"/>
    <w:semiHidden/>
    <w:unhideWhenUsed/>
    <w:rsid w:val="00140F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40F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rencie.com/seguridad-social.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ecretariasenado.gov.co/senado/basedoc/ley/1993/ley_0100_199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rteconstitucional.gov.co/relatoria/2001/c-1255-01.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lcaldiabogota.gov.co/sisjur/normas/Norma1.jsp?i=248"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enenadorsenen"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2422</Words>
  <Characters>13327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Admin</cp:lastModifiedBy>
  <cp:revision>3</cp:revision>
  <cp:lastPrinted>2016-03-16T17:49:00Z</cp:lastPrinted>
  <dcterms:created xsi:type="dcterms:W3CDTF">2016-03-16T17:49:00Z</dcterms:created>
  <dcterms:modified xsi:type="dcterms:W3CDTF">2016-03-16T17:50:00Z</dcterms:modified>
</cp:coreProperties>
</file>