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6A" w:rsidRPr="007F5E0E" w:rsidRDefault="000D716A" w:rsidP="000D716A">
      <w:pPr>
        <w:shd w:val="clear" w:color="auto" w:fill="FFFFFF"/>
        <w:spacing w:after="0" w:line="240" w:lineRule="auto"/>
        <w:ind w:firstLine="708"/>
        <w:jc w:val="center"/>
        <w:rPr>
          <w:rFonts w:ascii="Times New Roman" w:eastAsia="Times New Roman" w:hAnsi="Times New Roman" w:cs="Times New Roman"/>
          <w:b/>
          <w:color w:val="000000"/>
          <w:sz w:val="24"/>
          <w:szCs w:val="24"/>
          <w:lang w:eastAsia="es-CO"/>
        </w:rPr>
      </w:pPr>
      <w:bookmarkStart w:id="0" w:name="_GoBack"/>
      <w:bookmarkEnd w:id="0"/>
      <w:r>
        <w:rPr>
          <w:rFonts w:ascii="Times New Roman" w:eastAsia="Times New Roman" w:hAnsi="Times New Roman" w:cs="Times New Roman"/>
          <w:b/>
          <w:color w:val="000000"/>
          <w:sz w:val="24"/>
          <w:szCs w:val="24"/>
          <w:lang w:eastAsia="es-CO"/>
        </w:rPr>
        <w:t>Ley  No.          de 2016</w:t>
      </w:r>
      <w:r w:rsidRPr="007F5E0E">
        <w:rPr>
          <w:rFonts w:ascii="Times New Roman" w:eastAsia="Times New Roman" w:hAnsi="Times New Roman" w:cs="Times New Roman"/>
          <w:b/>
          <w:color w:val="000000"/>
          <w:sz w:val="24"/>
          <w:szCs w:val="24"/>
          <w:lang w:eastAsia="es-CO"/>
        </w:rPr>
        <w:t xml:space="preserve"> SENADO</w:t>
      </w:r>
    </w:p>
    <w:p w:rsidR="000D716A" w:rsidRPr="007F5E0E" w:rsidRDefault="000D716A" w:rsidP="000D716A">
      <w:pPr>
        <w:shd w:val="clear" w:color="auto" w:fill="FFFFFF"/>
        <w:spacing w:after="0" w:line="240" w:lineRule="auto"/>
        <w:jc w:val="center"/>
        <w:rPr>
          <w:rFonts w:ascii="Times New Roman" w:eastAsia="Times New Roman" w:hAnsi="Times New Roman" w:cs="Times New Roman"/>
          <w:color w:val="000000"/>
          <w:sz w:val="24"/>
          <w:szCs w:val="24"/>
          <w:lang w:eastAsia="es-CO"/>
        </w:rPr>
      </w:pPr>
      <w:r w:rsidRPr="007F5E0E">
        <w:rPr>
          <w:rFonts w:ascii="Times New Roman" w:eastAsia="Times New Roman" w:hAnsi="Times New Roman" w:cs="Times New Roman"/>
          <w:color w:val="000000"/>
          <w:sz w:val="24"/>
          <w:szCs w:val="24"/>
          <w:lang w:eastAsia="es-CO"/>
        </w:rPr>
        <w:t> </w:t>
      </w:r>
    </w:p>
    <w:p w:rsidR="000D716A" w:rsidRDefault="000D716A" w:rsidP="000D716A">
      <w:pPr>
        <w:shd w:val="clear" w:color="auto" w:fill="FFFFFF"/>
        <w:spacing w:after="0" w:line="240" w:lineRule="auto"/>
        <w:jc w:val="center"/>
        <w:rPr>
          <w:rFonts w:ascii="Times New Roman" w:eastAsia="Times New Roman" w:hAnsi="Times New Roman" w:cs="Times New Roman"/>
          <w:b/>
          <w:bCs/>
          <w:i/>
          <w:color w:val="000000"/>
          <w:sz w:val="24"/>
          <w:szCs w:val="24"/>
          <w:lang w:eastAsia="es-CO"/>
        </w:rPr>
      </w:pPr>
    </w:p>
    <w:p w:rsidR="000D716A" w:rsidRPr="007F5E0E" w:rsidRDefault="000D716A" w:rsidP="000D716A">
      <w:pPr>
        <w:shd w:val="clear" w:color="auto" w:fill="FFFFFF"/>
        <w:spacing w:after="0" w:line="240" w:lineRule="auto"/>
        <w:jc w:val="center"/>
        <w:rPr>
          <w:rFonts w:ascii="Times New Roman" w:eastAsia="Times New Roman" w:hAnsi="Times New Roman" w:cs="Times New Roman"/>
          <w:b/>
          <w:bCs/>
          <w:i/>
          <w:color w:val="000000"/>
          <w:sz w:val="24"/>
          <w:szCs w:val="24"/>
          <w:lang w:eastAsia="es-CO"/>
        </w:rPr>
      </w:pPr>
      <w:r w:rsidRPr="007F5E0E">
        <w:rPr>
          <w:rFonts w:ascii="Times New Roman" w:eastAsia="Times New Roman" w:hAnsi="Times New Roman" w:cs="Times New Roman"/>
          <w:b/>
          <w:bCs/>
          <w:i/>
          <w:color w:val="000000"/>
          <w:sz w:val="24"/>
          <w:szCs w:val="24"/>
          <w:lang w:eastAsia="es-CO"/>
        </w:rPr>
        <w:t>Por la c</w:t>
      </w:r>
      <w:r>
        <w:rPr>
          <w:rFonts w:ascii="Times New Roman" w:eastAsia="Times New Roman" w:hAnsi="Times New Roman" w:cs="Times New Roman"/>
          <w:b/>
          <w:bCs/>
          <w:i/>
          <w:color w:val="000000"/>
          <w:sz w:val="24"/>
          <w:szCs w:val="24"/>
          <w:lang w:eastAsia="es-CO"/>
        </w:rPr>
        <w:t xml:space="preserve">ual se establece el Pago de Cesantías del Fondo Nacional de Prestaciones Sociales del Magisterio </w:t>
      </w:r>
    </w:p>
    <w:p w:rsidR="000D716A" w:rsidRPr="007F5E0E" w:rsidRDefault="000D716A" w:rsidP="000D716A">
      <w:pPr>
        <w:shd w:val="clear" w:color="auto" w:fill="FFFFFF"/>
        <w:spacing w:after="0" w:line="240" w:lineRule="auto"/>
        <w:rPr>
          <w:rFonts w:ascii="Times New Roman" w:eastAsia="Times New Roman" w:hAnsi="Times New Roman" w:cs="Times New Roman"/>
          <w:color w:val="000000"/>
          <w:sz w:val="24"/>
          <w:szCs w:val="24"/>
          <w:lang w:eastAsia="es-CO"/>
        </w:rPr>
      </w:pPr>
    </w:p>
    <w:p w:rsidR="000D716A" w:rsidRDefault="000D716A" w:rsidP="000D716A">
      <w:pPr>
        <w:shd w:val="clear" w:color="auto" w:fill="FFFFFF"/>
        <w:spacing w:after="0" w:line="240" w:lineRule="auto"/>
        <w:jc w:val="center"/>
        <w:rPr>
          <w:rFonts w:ascii="Times New Roman" w:eastAsia="Times New Roman" w:hAnsi="Times New Roman" w:cs="Times New Roman"/>
          <w:b/>
          <w:bCs/>
          <w:color w:val="000000"/>
          <w:sz w:val="24"/>
          <w:szCs w:val="24"/>
          <w:lang w:eastAsia="es-CO"/>
        </w:rPr>
      </w:pPr>
    </w:p>
    <w:p w:rsidR="000D716A" w:rsidRPr="007F5E0E" w:rsidRDefault="000D716A" w:rsidP="000D716A">
      <w:pPr>
        <w:shd w:val="clear" w:color="auto" w:fill="FFFFFF"/>
        <w:spacing w:after="0" w:line="240" w:lineRule="auto"/>
        <w:jc w:val="center"/>
        <w:rPr>
          <w:rFonts w:ascii="Times New Roman" w:eastAsia="Times New Roman" w:hAnsi="Times New Roman" w:cs="Times New Roman"/>
          <w:b/>
          <w:bCs/>
          <w:color w:val="000000"/>
          <w:sz w:val="24"/>
          <w:szCs w:val="24"/>
          <w:lang w:eastAsia="es-CO"/>
        </w:rPr>
      </w:pPr>
      <w:r w:rsidRPr="007F5E0E">
        <w:rPr>
          <w:rFonts w:ascii="Times New Roman" w:eastAsia="Times New Roman" w:hAnsi="Times New Roman" w:cs="Times New Roman"/>
          <w:b/>
          <w:bCs/>
          <w:color w:val="000000"/>
          <w:sz w:val="24"/>
          <w:szCs w:val="24"/>
          <w:lang w:eastAsia="es-CO"/>
        </w:rPr>
        <w:t>El Congreso de Colombia</w:t>
      </w:r>
    </w:p>
    <w:p w:rsidR="000D716A" w:rsidRPr="007F5E0E" w:rsidRDefault="000D716A" w:rsidP="000D716A">
      <w:pPr>
        <w:shd w:val="clear" w:color="auto" w:fill="FFFFFF"/>
        <w:spacing w:after="0" w:line="240" w:lineRule="auto"/>
        <w:jc w:val="center"/>
        <w:rPr>
          <w:rFonts w:ascii="Times New Roman" w:eastAsia="Times New Roman" w:hAnsi="Times New Roman" w:cs="Times New Roman"/>
          <w:color w:val="000000"/>
          <w:sz w:val="24"/>
          <w:szCs w:val="24"/>
          <w:lang w:eastAsia="es-CO"/>
        </w:rPr>
      </w:pPr>
    </w:p>
    <w:p w:rsidR="000D716A" w:rsidRDefault="000D716A" w:rsidP="000D716A">
      <w:pPr>
        <w:shd w:val="clear" w:color="auto" w:fill="FFFFFF"/>
        <w:spacing w:after="0" w:line="240" w:lineRule="auto"/>
        <w:jc w:val="center"/>
        <w:rPr>
          <w:rFonts w:ascii="Times New Roman" w:eastAsia="Times New Roman" w:hAnsi="Times New Roman" w:cs="Times New Roman"/>
          <w:b/>
          <w:bCs/>
          <w:color w:val="000000"/>
          <w:sz w:val="24"/>
          <w:szCs w:val="24"/>
          <w:lang w:eastAsia="es-CO"/>
        </w:rPr>
      </w:pPr>
    </w:p>
    <w:p w:rsidR="000D716A" w:rsidRDefault="000D716A" w:rsidP="000D716A">
      <w:pPr>
        <w:shd w:val="clear" w:color="auto" w:fill="FFFFFF"/>
        <w:spacing w:after="0" w:line="240" w:lineRule="auto"/>
        <w:jc w:val="center"/>
        <w:rPr>
          <w:rFonts w:ascii="Times New Roman" w:eastAsia="Times New Roman" w:hAnsi="Times New Roman" w:cs="Times New Roman"/>
          <w:b/>
          <w:bCs/>
          <w:color w:val="000000"/>
          <w:sz w:val="24"/>
          <w:szCs w:val="24"/>
          <w:lang w:eastAsia="es-CO"/>
        </w:rPr>
      </w:pPr>
      <w:r w:rsidRPr="007F5E0E">
        <w:rPr>
          <w:rFonts w:ascii="Times New Roman" w:eastAsia="Times New Roman" w:hAnsi="Times New Roman" w:cs="Times New Roman"/>
          <w:b/>
          <w:bCs/>
          <w:color w:val="000000"/>
          <w:sz w:val="24"/>
          <w:szCs w:val="24"/>
          <w:lang w:eastAsia="es-CO"/>
        </w:rPr>
        <w:t>DECRETA:</w:t>
      </w:r>
    </w:p>
    <w:p w:rsidR="000D716A" w:rsidRDefault="000D716A" w:rsidP="000D716A">
      <w:pPr>
        <w:tabs>
          <w:tab w:val="left" w:pos="2552"/>
        </w:tabs>
        <w:spacing w:line="240" w:lineRule="auto"/>
        <w:jc w:val="both"/>
        <w:rPr>
          <w:rFonts w:ascii="Times New Roman" w:hAnsi="Times New Roman" w:cs="Times New Roman"/>
          <w:b/>
          <w:sz w:val="24"/>
          <w:szCs w:val="24"/>
        </w:rPr>
      </w:pPr>
    </w:p>
    <w:p w:rsidR="000D716A" w:rsidRDefault="000D716A" w:rsidP="000D716A">
      <w:pPr>
        <w:tabs>
          <w:tab w:val="left" w:pos="2552"/>
        </w:tabs>
        <w:spacing w:line="240" w:lineRule="auto"/>
        <w:jc w:val="both"/>
        <w:rPr>
          <w:rFonts w:ascii="Times New Roman" w:hAnsi="Times New Roman" w:cs="Times New Roman"/>
          <w:sz w:val="24"/>
          <w:szCs w:val="24"/>
        </w:rPr>
      </w:pPr>
      <w:r>
        <w:rPr>
          <w:rFonts w:ascii="Times New Roman" w:hAnsi="Times New Roman" w:cs="Times New Roman"/>
          <w:b/>
          <w:sz w:val="24"/>
          <w:szCs w:val="24"/>
        </w:rPr>
        <w:t>Artículo 1</w:t>
      </w:r>
      <w:r>
        <w:rPr>
          <w:rFonts w:ascii="Times New Roman" w:hAnsi="Times New Roman" w:cs="Times New Roman"/>
          <w:b/>
          <w:sz w:val="24"/>
          <w:szCs w:val="24"/>
          <w:vertAlign w:val="superscript"/>
        </w:rPr>
        <w:t>o</w:t>
      </w:r>
      <w:r>
        <w:rPr>
          <w:rFonts w:ascii="Times New Roman" w:hAnsi="Times New Roman" w:cs="Times New Roman"/>
          <w:b/>
          <w:sz w:val="24"/>
          <w:szCs w:val="24"/>
        </w:rPr>
        <w:t xml:space="preserve">. </w:t>
      </w:r>
      <w:r>
        <w:rPr>
          <w:rFonts w:ascii="Times New Roman" w:hAnsi="Times New Roman" w:cs="Times New Roman"/>
          <w:sz w:val="24"/>
          <w:szCs w:val="24"/>
        </w:rPr>
        <w:t>El pago que reconozca el Fondo Nacional de Prestaciones Sociales del Magisterio –FOMAG- por concepto de cesantías parciales o definitivas a sus afiliados se deberá realizar de acuerdo a lo establecido en el artículo 5</w:t>
      </w:r>
      <w:r>
        <w:rPr>
          <w:rFonts w:ascii="Times New Roman" w:hAnsi="Times New Roman" w:cs="Times New Roman"/>
          <w:sz w:val="24"/>
          <w:szCs w:val="24"/>
          <w:vertAlign w:val="superscript"/>
        </w:rPr>
        <w:t>o</w:t>
      </w:r>
      <w:r>
        <w:rPr>
          <w:rFonts w:ascii="Times New Roman" w:hAnsi="Times New Roman" w:cs="Times New Roman"/>
          <w:sz w:val="24"/>
          <w:szCs w:val="24"/>
        </w:rPr>
        <w:t xml:space="preserve"> de la ley 1071 de 2006.</w:t>
      </w:r>
    </w:p>
    <w:p w:rsidR="000D716A" w:rsidRPr="0011469E" w:rsidRDefault="000D716A" w:rsidP="000D716A">
      <w:pPr>
        <w:tabs>
          <w:tab w:val="left" w:pos="2552"/>
        </w:tabs>
        <w:spacing w:line="240" w:lineRule="auto"/>
        <w:jc w:val="both"/>
        <w:rPr>
          <w:rFonts w:ascii="Times New Roman" w:hAnsi="Times New Roman" w:cs="Times New Roman"/>
          <w:sz w:val="24"/>
          <w:szCs w:val="24"/>
        </w:rPr>
      </w:pPr>
      <w:r>
        <w:rPr>
          <w:rFonts w:ascii="Times New Roman" w:hAnsi="Times New Roman" w:cs="Times New Roman"/>
          <w:b/>
          <w:sz w:val="24"/>
          <w:szCs w:val="24"/>
        </w:rPr>
        <w:t>Artículo 2</w:t>
      </w:r>
      <w:r>
        <w:rPr>
          <w:rFonts w:ascii="Times New Roman" w:hAnsi="Times New Roman" w:cs="Times New Roman"/>
          <w:b/>
          <w:sz w:val="24"/>
          <w:szCs w:val="24"/>
          <w:vertAlign w:val="superscript"/>
        </w:rPr>
        <w:t>o</w:t>
      </w:r>
      <w:r>
        <w:rPr>
          <w:rFonts w:ascii="Times New Roman" w:hAnsi="Times New Roman" w:cs="Times New Roman"/>
          <w:b/>
          <w:sz w:val="24"/>
          <w:szCs w:val="24"/>
        </w:rPr>
        <w:t xml:space="preserve">. </w:t>
      </w:r>
      <w:r>
        <w:rPr>
          <w:rFonts w:ascii="Times New Roman" w:hAnsi="Times New Roman" w:cs="Times New Roman"/>
          <w:sz w:val="24"/>
          <w:szCs w:val="24"/>
        </w:rPr>
        <w:t xml:space="preserve">Esta ley entrará a regir a partir de la fecha de su promulgación y deroga todas las disposiciones que le sean contrarias. </w:t>
      </w:r>
    </w:p>
    <w:p w:rsidR="000D716A" w:rsidRPr="00E031BE" w:rsidRDefault="000D716A" w:rsidP="000D716A">
      <w:pPr>
        <w:tabs>
          <w:tab w:val="left" w:pos="2552"/>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rsidR="000D716A" w:rsidRDefault="000D716A" w:rsidP="000D716A">
      <w:pPr>
        <w:tabs>
          <w:tab w:val="left" w:pos="2552"/>
        </w:tabs>
        <w:spacing w:line="240" w:lineRule="auto"/>
        <w:jc w:val="center"/>
        <w:rPr>
          <w:rFonts w:ascii="Times New Roman" w:hAnsi="Times New Roman" w:cs="Times New Roman"/>
          <w:b/>
          <w:sz w:val="24"/>
          <w:szCs w:val="24"/>
        </w:rPr>
      </w:pPr>
    </w:p>
    <w:p w:rsidR="000D716A" w:rsidRDefault="000D716A" w:rsidP="000D716A">
      <w:pPr>
        <w:tabs>
          <w:tab w:val="left" w:pos="2552"/>
        </w:tabs>
        <w:spacing w:line="240" w:lineRule="auto"/>
        <w:jc w:val="center"/>
        <w:rPr>
          <w:rFonts w:ascii="Times New Roman" w:hAnsi="Times New Roman" w:cs="Times New Roman"/>
          <w:b/>
          <w:sz w:val="24"/>
          <w:szCs w:val="24"/>
        </w:rPr>
      </w:pPr>
    </w:p>
    <w:p w:rsidR="000D716A" w:rsidRDefault="000D716A" w:rsidP="000D716A">
      <w:pPr>
        <w:tabs>
          <w:tab w:val="left" w:pos="2552"/>
        </w:tabs>
        <w:spacing w:line="240" w:lineRule="auto"/>
        <w:jc w:val="center"/>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rPr>
          <w:rFonts w:ascii="Times New Roman" w:hAnsi="Times New Roman" w:cs="Times New Roman"/>
          <w:b/>
          <w:sz w:val="24"/>
          <w:szCs w:val="24"/>
        </w:rPr>
      </w:pPr>
    </w:p>
    <w:p w:rsidR="000D716A" w:rsidRDefault="000D716A" w:rsidP="000D716A">
      <w:pPr>
        <w:tabs>
          <w:tab w:val="left" w:pos="2552"/>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EXPOSICIÓN DE MOTIVOS</w:t>
      </w:r>
    </w:p>
    <w:p w:rsidR="000D716A" w:rsidRPr="00E76EF6" w:rsidRDefault="000D716A" w:rsidP="000D716A">
      <w:pPr>
        <w:tabs>
          <w:tab w:val="left" w:pos="2552"/>
        </w:tabs>
        <w:spacing w:line="240" w:lineRule="auto"/>
        <w:rPr>
          <w:rFonts w:ascii="Times New Roman" w:hAnsi="Times New Roman" w:cs="Times New Roman"/>
          <w:b/>
          <w:sz w:val="24"/>
          <w:szCs w:val="24"/>
        </w:rPr>
      </w:pPr>
      <w:r w:rsidRPr="00E76EF6">
        <w:rPr>
          <w:rFonts w:ascii="Times New Roman" w:hAnsi="Times New Roman" w:cs="Times New Roman"/>
          <w:b/>
          <w:sz w:val="24"/>
          <w:szCs w:val="24"/>
        </w:rPr>
        <w:t>Honorables Congresistas.</w:t>
      </w:r>
    </w:p>
    <w:p w:rsidR="000D716A" w:rsidRDefault="000D716A" w:rsidP="000D716A">
      <w:pPr>
        <w:pStyle w:val="Prrafodelista"/>
        <w:spacing w:line="240" w:lineRule="auto"/>
        <w:jc w:val="both"/>
        <w:rPr>
          <w:rFonts w:ascii="Times New Roman" w:hAnsi="Times New Roman" w:cs="Times New Roman"/>
          <w:b/>
          <w:i/>
          <w:sz w:val="24"/>
          <w:szCs w:val="24"/>
        </w:rPr>
      </w:pPr>
    </w:p>
    <w:p w:rsidR="000D716A" w:rsidRDefault="000D716A" w:rsidP="000D716A">
      <w:pPr>
        <w:pStyle w:val="Prrafodelista"/>
        <w:numPr>
          <w:ilvl w:val="0"/>
          <w:numId w:val="1"/>
        </w:numPr>
        <w:spacing w:line="240" w:lineRule="auto"/>
        <w:jc w:val="both"/>
        <w:rPr>
          <w:rFonts w:ascii="Times New Roman" w:hAnsi="Times New Roman" w:cs="Times New Roman"/>
          <w:b/>
          <w:i/>
          <w:sz w:val="24"/>
          <w:szCs w:val="24"/>
        </w:rPr>
      </w:pPr>
      <w:r w:rsidRPr="00E76EF6">
        <w:rPr>
          <w:rFonts w:ascii="Times New Roman" w:hAnsi="Times New Roman" w:cs="Times New Roman"/>
          <w:b/>
          <w:i/>
          <w:sz w:val="24"/>
          <w:szCs w:val="24"/>
        </w:rPr>
        <w:t>Objeto:</w:t>
      </w:r>
    </w:p>
    <w:p w:rsidR="000D716A" w:rsidRPr="00C216AB" w:rsidRDefault="000D716A" w:rsidP="000D716A">
      <w:pPr>
        <w:spacing w:line="240" w:lineRule="auto"/>
        <w:ind w:right="-60"/>
        <w:jc w:val="both"/>
        <w:rPr>
          <w:rFonts w:ascii="Times New Roman" w:hAnsi="Times New Roman" w:cs="Times New Roman"/>
          <w:sz w:val="24"/>
          <w:szCs w:val="24"/>
        </w:rPr>
      </w:pPr>
      <w:r w:rsidRPr="00416CD8">
        <w:rPr>
          <w:rFonts w:ascii="Times New Roman" w:hAnsi="Times New Roman" w:cs="Times New Roman"/>
          <w:sz w:val="24"/>
          <w:szCs w:val="24"/>
        </w:rPr>
        <w:t>La ley 1769 de 2015 “Ley del Presupuesto General de la Nación” menoscabó de manera discriminatoria el pago de las cesantías de los afiliados al FOMAG, en relación con los demás servidores públicos a quienes se les paga en menor tiempo y la sanción por mora es evidentemente más alta, lo que busca este proyecto de ley es establecer un tratamiento igualitario, no discriminante, ni atentatorio de los derechos y garantías adquiridos por los educadores del sector oficial</w:t>
      </w:r>
      <w:r>
        <w:rPr>
          <w:rFonts w:ascii="Times New Roman" w:hAnsi="Times New Roman" w:cs="Times New Roman"/>
          <w:sz w:val="24"/>
          <w:szCs w:val="24"/>
        </w:rPr>
        <w:t xml:space="preserve"> para quienes se reconozcan las cesantías de conformidad a cómo se venía realizando de acuerdo a lo establecido en la ley 1071 de 2006</w:t>
      </w:r>
      <w:r w:rsidRPr="00416CD8">
        <w:rPr>
          <w:rFonts w:ascii="Times New Roman" w:hAnsi="Times New Roman" w:cs="Times New Roman"/>
          <w:sz w:val="24"/>
          <w:szCs w:val="24"/>
        </w:rPr>
        <w:t xml:space="preserve">. </w:t>
      </w:r>
    </w:p>
    <w:p w:rsidR="000D716A" w:rsidRDefault="000D716A" w:rsidP="000D716A">
      <w:pPr>
        <w:pStyle w:val="Prrafodelista"/>
        <w:numPr>
          <w:ilvl w:val="0"/>
          <w:numId w:val="1"/>
        </w:num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Justificación:</w:t>
      </w:r>
    </w:p>
    <w:p w:rsidR="000D716A" w:rsidRDefault="000D716A" w:rsidP="000D716A">
      <w:pPr>
        <w:spacing w:line="240" w:lineRule="auto"/>
        <w:jc w:val="both"/>
        <w:rPr>
          <w:rFonts w:ascii="Times New Roman" w:hAnsi="Times New Roman" w:cs="Times New Roman"/>
          <w:b/>
          <w:sz w:val="24"/>
          <w:szCs w:val="24"/>
        </w:rPr>
      </w:pPr>
      <w:r>
        <w:rPr>
          <w:rFonts w:ascii="Times New Roman" w:hAnsi="Times New Roman" w:cs="Times New Roman"/>
          <w:b/>
          <w:sz w:val="24"/>
          <w:szCs w:val="24"/>
        </w:rPr>
        <w:t>2.1. Paralelo Legal:</w:t>
      </w:r>
    </w:p>
    <w:tbl>
      <w:tblPr>
        <w:tblStyle w:val="Tablaconcuadrcula"/>
        <w:tblW w:w="0" w:type="auto"/>
        <w:tblLook w:val="04A0" w:firstRow="1" w:lastRow="0" w:firstColumn="1" w:lastColumn="0" w:noHBand="0" w:noVBand="1"/>
      </w:tblPr>
      <w:tblGrid>
        <w:gridCol w:w="4322"/>
        <w:gridCol w:w="4322"/>
      </w:tblGrid>
      <w:tr w:rsidR="000D716A" w:rsidRPr="00714BF8" w:rsidTr="00345922">
        <w:tc>
          <w:tcPr>
            <w:tcW w:w="4322" w:type="dxa"/>
          </w:tcPr>
          <w:p w:rsidR="000D716A" w:rsidRPr="00714BF8" w:rsidRDefault="000D716A" w:rsidP="000D716A">
            <w:pPr>
              <w:jc w:val="center"/>
              <w:rPr>
                <w:rFonts w:ascii="Times New Roman" w:hAnsi="Times New Roman" w:cs="Times New Roman"/>
                <w:b/>
                <w:sz w:val="24"/>
                <w:szCs w:val="24"/>
              </w:rPr>
            </w:pPr>
            <w:r w:rsidRPr="00714BF8">
              <w:rPr>
                <w:rFonts w:ascii="Times New Roman" w:hAnsi="Times New Roman" w:cs="Times New Roman"/>
                <w:b/>
                <w:sz w:val="24"/>
                <w:szCs w:val="24"/>
              </w:rPr>
              <w:t>Ley 1071 de 2006</w:t>
            </w:r>
          </w:p>
        </w:tc>
        <w:tc>
          <w:tcPr>
            <w:tcW w:w="4322" w:type="dxa"/>
          </w:tcPr>
          <w:p w:rsidR="000D716A" w:rsidRPr="00714BF8" w:rsidRDefault="000D716A" w:rsidP="000D716A">
            <w:pPr>
              <w:jc w:val="center"/>
              <w:rPr>
                <w:rFonts w:ascii="Times New Roman" w:hAnsi="Times New Roman" w:cs="Times New Roman"/>
                <w:b/>
                <w:sz w:val="24"/>
                <w:szCs w:val="24"/>
              </w:rPr>
            </w:pPr>
            <w:r w:rsidRPr="00714BF8">
              <w:rPr>
                <w:rFonts w:ascii="Times New Roman" w:hAnsi="Times New Roman" w:cs="Times New Roman"/>
                <w:b/>
                <w:sz w:val="24"/>
                <w:szCs w:val="24"/>
              </w:rPr>
              <w:t>Ley 1769 de 2015</w:t>
            </w:r>
          </w:p>
        </w:tc>
      </w:tr>
      <w:tr w:rsidR="000D716A" w:rsidRPr="00714BF8" w:rsidTr="00345922">
        <w:tc>
          <w:tcPr>
            <w:tcW w:w="4322" w:type="dxa"/>
          </w:tcPr>
          <w:p w:rsidR="000D716A" w:rsidRPr="00714BF8" w:rsidRDefault="0040590B" w:rsidP="000D716A">
            <w:pPr>
              <w:jc w:val="both"/>
              <w:rPr>
                <w:rFonts w:ascii="Times New Roman" w:hAnsi="Times New Roman" w:cs="Times New Roman"/>
                <w:sz w:val="24"/>
                <w:szCs w:val="24"/>
              </w:rPr>
            </w:pPr>
            <w:hyperlink r:id="rId8" w:anchor="top" w:tooltip="Ir al inicio" w:history="1"/>
          </w:p>
          <w:p w:rsidR="000D716A" w:rsidRPr="00714BF8" w:rsidRDefault="000D716A" w:rsidP="000D716A">
            <w:pPr>
              <w:jc w:val="both"/>
              <w:rPr>
                <w:rFonts w:ascii="Times New Roman" w:hAnsi="Times New Roman" w:cs="Times New Roman"/>
                <w:sz w:val="24"/>
                <w:szCs w:val="24"/>
              </w:rPr>
            </w:pPr>
            <w:bookmarkStart w:id="1" w:name="5"/>
            <w:r w:rsidRPr="00714BF8">
              <w:rPr>
                <w:rFonts w:ascii="Times New Roman" w:hAnsi="Times New Roman" w:cs="Times New Roman"/>
                <w:b/>
                <w:bCs/>
                <w:sz w:val="24"/>
                <w:szCs w:val="24"/>
              </w:rPr>
              <w:t>ARTÍCULO 5o. MORA EN EL PAGO.</w:t>
            </w:r>
            <w:bookmarkEnd w:id="1"/>
            <w:r w:rsidRPr="00714BF8">
              <w:rPr>
                <w:rFonts w:ascii="Times New Roman" w:hAnsi="Times New Roman" w:cs="Times New Roman"/>
                <w:sz w:val="24"/>
                <w:szCs w:val="24"/>
              </w:rPr>
              <w:t xml:space="preserve"> La entidad pública pagadora tendrá un plazo máximo de </w:t>
            </w:r>
            <w:r w:rsidRPr="00714BF8">
              <w:rPr>
                <w:rFonts w:ascii="Times New Roman" w:hAnsi="Times New Roman" w:cs="Times New Roman"/>
                <w:b/>
                <w:sz w:val="24"/>
                <w:szCs w:val="24"/>
              </w:rPr>
              <w:t>cuarenta y cinco (45) días hábiles</w:t>
            </w:r>
            <w:r w:rsidRPr="00714BF8">
              <w:rPr>
                <w:rFonts w:ascii="Times New Roman" w:hAnsi="Times New Roman" w:cs="Times New Roman"/>
                <w:sz w:val="24"/>
                <w:szCs w:val="24"/>
              </w:rPr>
              <w:t>, a partir de la cual quede en firme el acto administrativo que ordena la liquidación de las cesantías definitivas o parciales del servidor público, para cancelar esta prestación social, sin perjuicio de lo establecido para el Fondo Nacional de Ahorro.</w:t>
            </w:r>
          </w:p>
          <w:p w:rsidR="000D716A" w:rsidRDefault="000D716A" w:rsidP="000D716A">
            <w:pPr>
              <w:jc w:val="both"/>
              <w:rPr>
                <w:rFonts w:ascii="Times New Roman" w:hAnsi="Times New Roman" w:cs="Times New Roman"/>
                <w:b/>
                <w:bCs/>
                <w:sz w:val="24"/>
                <w:szCs w:val="24"/>
              </w:rPr>
            </w:pPr>
          </w:p>
          <w:p w:rsidR="000D716A" w:rsidRDefault="000D716A" w:rsidP="000D716A">
            <w:pPr>
              <w:jc w:val="both"/>
              <w:rPr>
                <w:rFonts w:ascii="Times New Roman" w:hAnsi="Times New Roman" w:cs="Times New Roman"/>
                <w:b/>
                <w:bCs/>
                <w:sz w:val="24"/>
                <w:szCs w:val="24"/>
              </w:rPr>
            </w:pPr>
          </w:p>
          <w:p w:rsidR="000D716A" w:rsidRPr="00714BF8" w:rsidRDefault="000D716A" w:rsidP="000D716A">
            <w:pPr>
              <w:jc w:val="both"/>
              <w:rPr>
                <w:rFonts w:ascii="Times New Roman" w:hAnsi="Times New Roman" w:cs="Times New Roman"/>
                <w:sz w:val="24"/>
                <w:szCs w:val="24"/>
              </w:rPr>
            </w:pPr>
            <w:r w:rsidRPr="00714BF8">
              <w:rPr>
                <w:rFonts w:ascii="Times New Roman" w:hAnsi="Times New Roman" w:cs="Times New Roman"/>
                <w:b/>
                <w:bCs/>
                <w:sz w:val="24"/>
                <w:szCs w:val="24"/>
              </w:rPr>
              <w:t>PARÁGRAFO.</w:t>
            </w:r>
            <w:r w:rsidRPr="00714BF8">
              <w:rPr>
                <w:rFonts w:ascii="Times New Roman" w:hAnsi="Times New Roman" w:cs="Times New Roman"/>
                <w:sz w:val="24"/>
                <w:szCs w:val="24"/>
              </w:rPr>
              <w:t xml:space="preserve"> En caso de mora en el pago de las cesantías definitivas o parciales de los servidores públicos, la entidad obligada reconocerá y cancelará de sus propios recursos, al beneficiario, un día de salario por cada día de retardo hasta que se haga efectivo el pago de las </w:t>
            </w:r>
            <w:r w:rsidRPr="00714BF8">
              <w:rPr>
                <w:rFonts w:ascii="Times New Roman" w:hAnsi="Times New Roman" w:cs="Times New Roman"/>
                <w:sz w:val="24"/>
                <w:szCs w:val="24"/>
              </w:rPr>
              <w:lastRenderedPageBreak/>
              <w:t xml:space="preserve">mismas, para lo cual solo bastará acreditar la no cancelación dentro del término previsto en este artículo. Sin embargo, la entidad podrá repetir contra el funcionario, cuando se demuestre que la mora en el pago se produjo por culpa imputable a este. </w:t>
            </w:r>
          </w:p>
          <w:p w:rsidR="000D716A" w:rsidRPr="00714BF8" w:rsidRDefault="000D716A" w:rsidP="000D716A">
            <w:pPr>
              <w:jc w:val="both"/>
              <w:rPr>
                <w:rFonts w:ascii="Times New Roman" w:hAnsi="Times New Roman" w:cs="Times New Roman"/>
                <w:sz w:val="24"/>
                <w:szCs w:val="24"/>
              </w:rPr>
            </w:pPr>
          </w:p>
        </w:tc>
        <w:tc>
          <w:tcPr>
            <w:tcW w:w="4322" w:type="dxa"/>
          </w:tcPr>
          <w:p w:rsidR="000D716A" w:rsidRPr="00714BF8" w:rsidRDefault="0040590B" w:rsidP="000D716A">
            <w:pPr>
              <w:jc w:val="both"/>
              <w:rPr>
                <w:rFonts w:ascii="Times New Roman" w:hAnsi="Times New Roman" w:cs="Times New Roman"/>
                <w:sz w:val="24"/>
                <w:szCs w:val="24"/>
              </w:rPr>
            </w:pPr>
            <w:hyperlink r:id="rId9" w:anchor="top" w:tooltip="Ir al inicio" w:history="1"/>
          </w:p>
          <w:p w:rsidR="000D716A" w:rsidRPr="00714BF8" w:rsidRDefault="000D716A" w:rsidP="000D716A">
            <w:pPr>
              <w:jc w:val="both"/>
              <w:rPr>
                <w:rFonts w:ascii="Times New Roman" w:hAnsi="Times New Roman" w:cs="Times New Roman"/>
                <w:sz w:val="24"/>
                <w:szCs w:val="24"/>
              </w:rPr>
            </w:pPr>
            <w:bookmarkStart w:id="2" w:name="89"/>
            <w:r w:rsidRPr="00714BF8">
              <w:rPr>
                <w:rFonts w:ascii="Times New Roman" w:hAnsi="Times New Roman" w:cs="Times New Roman"/>
                <w:b/>
                <w:bCs/>
                <w:sz w:val="24"/>
                <w:szCs w:val="24"/>
              </w:rPr>
              <w:t>ARTÍCULO 89. PAGO DE CESANTÍAS DEL MAGISTERIO.</w:t>
            </w:r>
            <w:bookmarkEnd w:id="2"/>
            <w:r w:rsidRPr="00714BF8">
              <w:rPr>
                <w:rFonts w:ascii="Times New Roman" w:hAnsi="Times New Roman" w:cs="Times New Roman"/>
                <w:sz w:val="24"/>
                <w:szCs w:val="24"/>
              </w:rPr>
              <w:t xml:space="preserve"> El pago que reconozca el Fondo Nacional de Prestaciones Sociales del Magisterio (Fomag) por concepto de cesantías parciales o definitivas a sus afiliados se deberá realizar dentro de </w:t>
            </w:r>
            <w:r w:rsidRPr="00714BF8">
              <w:rPr>
                <w:rFonts w:ascii="Times New Roman" w:hAnsi="Times New Roman" w:cs="Times New Roman"/>
                <w:b/>
                <w:sz w:val="24"/>
                <w:szCs w:val="24"/>
              </w:rPr>
              <w:t>los sesenta (60) días hábiles</w:t>
            </w:r>
            <w:r w:rsidRPr="00714BF8">
              <w:rPr>
                <w:rFonts w:ascii="Times New Roman" w:hAnsi="Times New Roman" w:cs="Times New Roman"/>
                <w:sz w:val="24"/>
                <w:szCs w:val="24"/>
              </w:rPr>
              <w:t xml:space="preserve"> siguientes a la fecha en que quede en firme el acto administrativo que ordena la liquidación y pago de la prestación social solicitada.</w:t>
            </w:r>
          </w:p>
          <w:p w:rsidR="000D716A" w:rsidRDefault="000D716A" w:rsidP="000D716A">
            <w:pPr>
              <w:jc w:val="both"/>
              <w:rPr>
                <w:rFonts w:ascii="Times New Roman" w:hAnsi="Times New Roman" w:cs="Times New Roman"/>
                <w:sz w:val="24"/>
                <w:szCs w:val="24"/>
              </w:rPr>
            </w:pPr>
          </w:p>
          <w:p w:rsidR="000D716A" w:rsidRPr="00714BF8" w:rsidRDefault="000D716A" w:rsidP="000D716A">
            <w:pPr>
              <w:jc w:val="both"/>
              <w:rPr>
                <w:rFonts w:ascii="Times New Roman" w:hAnsi="Times New Roman" w:cs="Times New Roman"/>
                <w:sz w:val="24"/>
                <w:szCs w:val="24"/>
              </w:rPr>
            </w:pPr>
            <w:r w:rsidRPr="00714BF8">
              <w:rPr>
                <w:rFonts w:ascii="Times New Roman" w:hAnsi="Times New Roman" w:cs="Times New Roman"/>
                <w:sz w:val="24"/>
                <w:szCs w:val="24"/>
              </w:rPr>
              <w:t>A partir del día hábil sesenta y uno (61), se deberán reconocer a título de mora en el pago, intereses legales a una tasa equivalente a la DTF efectiva anual, causado diariamente por la suma no pagada.</w:t>
            </w:r>
          </w:p>
          <w:p w:rsidR="000D716A" w:rsidRPr="00714BF8" w:rsidRDefault="000D716A" w:rsidP="000D716A">
            <w:pPr>
              <w:jc w:val="both"/>
              <w:rPr>
                <w:rFonts w:ascii="Times New Roman" w:hAnsi="Times New Roman" w:cs="Times New Roman"/>
                <w:sz w:val="24"/>
                <w:szCs w:val="24"/>
              </w:rPr>
            </w:pPr>
          </w:p>
        </w:tc>
      </w:tr>
    </w:tbl>
    <w:p w:rsidR="000D716A" w:rsidRDefault="000D716A" w:rsidP="000D716A">
      <w:pPr>
        <w:spacing w:line="240" w:lineRule="auto"/>
        <w:ind w:right="-60"/>
        <w:jc w:val="both"/>
        <w:rPr>
          <w:rFonts w:ascii="Times New Roman" w:hAnsi="Times New Roman" w:cs="Times New Roman"/>
          <w:b/>
          <w:sz w:val="24"/>
          <w:szCs w:val="24"/>
        </w:rPr>
      </w:pPr>
    </w:p>
    <w:p w:rsidR="000D716A" w:rsidRDefault="000D716A" w:rsidP="000D716A">
      <w:pPr>
        <w:spacing w:line="240" w:lineRule="auto"/>
        <w:ind w:right="-60"/>
        <w:jc w:val="both"/>
        <w:rPr>
          <w:rFonts w:ascii="Times New Roman" w:hAnsi="Times New Roman" w:cs="Times New Roman"/>
          <w:b/>
          <w:sz w:val="24"/>
          <w:szCs w:val="24"/>
        </w:rPr>
      </w:pPr>
      <w:r>
        <w:rPr>
          <w:rFonts w:ascii="Times New Roman" w:hAnsi="Times New Roman" w:cs="Times New Roman"/>
          <w:b/>
          <w:sz w:val="24"/>
          <w:szCs w:val="24"/>
        </w:rPr>
        <w:t>3. Marco Jurídico:</w:t>
      </w:r>
    </w:p>
    <w:p w:rsidR="000D716A" w:rsidRPr="007764D6" w:rsidRDefault="000D716A" w:rsidP="000D716A">
      <w:pPr>
        <w:spacing w:line="240" w:lineRule="auto"/>
        <w:ind w:right="-60"/>
        <w:jc w:val="both"/>
        <w:rPr>
          <w:rFonts w:ascii="Times New Roman" w:hAnsi="Times New Roman" w:cs="Times New Roman"/>
          <w:b/>
          <w:sz w:val="24"/>
          <w:szCs w:val="24"/>
        </w:rPr>
      </w:pPr>
      <w:r>
        <w:rPr>
          <w:rFonts w:ascii="Times New Roman" w:hAnsi="Times New Roman" w:cs="Times New Roman"/>
          <w:b/>
          <w:sz w:val="24"/>
          <w:szCs w:val="24"/>
        </w:rPr>
        <w:t xml:space="preserve">3.1. </w:t>
      </w:r>
      <w:r w:rsidRPr="007764D6">
        <w:rPr>
          <w:rFonts w:ascii="Times New Roman" w:hAnsi="Times New Roman" w:cs="Times New Roman"/>
          <w:b/>
          <w:sz w:val="24"/>
          <w:szCs w:val="24"/>
        </w:rPr>
        <w:t>Del Proyecto de Ley:</w:t>
      </w:r>
    </w:p>
    <w:p w:rsidR="000D716A" w:rsidRPr="00F94544" w:rsidRDefault="000D716A" w:rsidP="000D716A">
      <w:pPr>
        <w:spacing w:line="240" w:lineRule="auto"/>
        <w:jc w:val="both"/>
        <w:rPr>
          <w:rFonts w:ascii="Times New Roman" w:hAnsi="Times New Roman" w:cs="Times New Roman"/>
          <w:sz w:val="24"/>
          <w:szCs w:val="24"/>
        </w:rPr>
      </w:pPr>
      <w:r w:rsidRPr="00F94544">
        <w:rPr>
          <w:rFonts w:ascii="Times New Roman" w:hAnsi="Times New Roman" w:cs="Times New Roman"/>
          <w:sz w:val="24"/>
          <w:szCs w:val="24"/>
        </w:rPr>
        <w:t xml:space="preserve">El Proyecto de Ley a que se refiere esta ponencia cumple con lo establecido en el artículo 140 numeral 1 de la Ley 5ª de 1992, pues se trata de una Iniciativa Legislativa presentada individualmente por Honorable Senador SENÉN NIÑO AVENDAÑO, quien tiene la competencia para tal efecto. </w:t>
      </w:r>
    </w:p>
    <w:p w:rsidR="000D716A" w:rsidRDefault="000D716A" w:rsidP="000D716A">
      <w:pPr>
        <w:spacing w:line="240" w:lineRule="auto"/>
        <w:jc w:val="both"/>
        <w:rPr>
          <w:rFonts w:ascii="Times New Roman" w:hAnsi="Times New Roman" w:cs="Times New Roman"/>
          <w:sz w:val="24"/>
          <w:szCs w:val="24"/>
        </w:rPr>
      </w:pPr>
      <w:r w:rsidRPr="00F94544">
        <w:rPr>
          <w:rFonts w:ascii="Times New Roman" w:hAnsi="Times New Roman" w:cs="Times New Roman"/>
          <w:sz w:val="24"/>
          <w:szCs w:val="24"/>
        </w:rPr>
        <w:t>Cumple además con los artículos 154, 157, 158 y 169 de la Constitución Política referentes a la iniciativa legislativa, unidad de materia y título de la ley. Así mismo con el artículo 150 de la Carta que manifiesta que dentro de las funciones del Congreso está la de hacer las Leyes.</w:t>
      </w:r>
    </w:p>
    <w:p w:rsidR="000D716A" w:rsidRDefault="000D716A" w:rsidP="000D716A">
      <w:pPr>
        <w:spacing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3.2. Naturaleza Jurídica de las Cesantías</w:t>
      </w:r>
    </w:p>
    <w:p w:rsidR="000D716A"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t>Según las Corte Constitucional en sentencia T – 008 de 2015 la naturaleza jurídica de las cesantías y su sanción moratoria se resume así:</w:t>
      </w:r>
    </w:p>
    <w:p w:rsidR="000D716A" w:rsidRDefault="000D716A" w:rsidP="000D716A">
      <w:pPr>
        <w:spacing w:line="240" w:lineRule="auto"/>
        <w:ind w:left="708"/>
        <w:jc w:val="both"/>
        <w:rPr>
          <w:rFonts w:ascii="Times New Roman" w:hAnsi="Times New Roman" w:cs="Times New Roman"/>
          <w:sz w:val="24"/>
          <w:szCs w:val="24"/>
        </w:rPr>
      </w:pPr>
      <w:r>
        <w:rPr>
          <w:rFonts w:ascii="Times New Roman" w:hAnsi="Times New Roman" w:cs="Times New Roman"/>
          <w:i/>
          <w:iCs/>
          <w:color w:val="2D2D2D"/>
          <w:sz w:val="24"/>
          <w:szCs w:val="24"/>
          <w:bdr w:val="none" w:sz="0" w:space="0" w:color="auto" w:frame="1"/>
        </w:rPr>
        <w:t>“</w:t>
      </w:r>
      <w:r w:rsidRPr="007764D6">
        <w:rPr>
          <w:rFonts w:ascii="Times New Roman" w:hAnsi="Times New Roman" w:cs="Times New Roman"/>
          <w:i/>
          <w:iCs/>
          <w:color w:val="2D2D2D"/>
          <w:sz w:val="24"/>
          <w:szCs w:val="24"/>
          <w:bdr w:val="none" w:sz="0" w:space="0" w:color="auto" w:frame="1"/>
        </w:rPr>
        <w:t>El auxilio de cesantía se erige en una de las prestaciones más importantes para los trabajadores y su núcleo familiar, como también en uno de los fundamentos más relevantes del bienestar de los mismos, en cuanto se considera el respaldo económico de sus titulares para el acceso a bienes y servicios indispensables para el mejoramiento de la calidad de vida de la población asalariada. Aunado a lo anterior,</w:t>
      </w:r>
      <w:r w:rsidRPr="007764D6">
        <w:rPr>
          <w:rStyle w:val="apple-converted-space"/>
          <w:rFonts w:ascii="Times New Roman" w:hAnsi="Times New Roman" w:cs="Times New Roman"/>
          <w:i/>
          <w:iCs/>
          <w:color w:val="2D2D2D"/>
          <w:sz w:val="24"/>
          <w:szCs w:val="24"/>
          <w:bdr w:val="none" w:sz="0" w:space="0" w:color="auto" w:frame="1"/>
        </w:rPr>
        <w:t> </w:t>
      </w:r>
      <w:r w:rsidRPr="007764D6">
        <w:rPr>
          <w:rFonts w:ascii="Times New Roman" w:hAnsi="Times New Roman" w:cs="Times New Roman"/>
          <w:i/>
          <w:iCs/>
          <w:color w:val="2D2D2D"/>
          <w:sz w:val="24"/>
          <w:szCs w:val="24"/>
          <w:bdr w:val="none" w:sz="0" w:space="0" w:color="auto" w:frame="1"/>
        </w:rPr>
        <w:t>en caso de mora en el pago de este</w:t>
      </w:r>
      <w:r>
        <w:rPr>
          <w:rFonts w:ascii="Times New Roman" w:hAnsi="Times New Roman" w:cs="Times New Roman"/>
          <w:i/>
          <w:iCs/>
          <w:color w:val="2D2D2D"/>
          <w:sz w:val="24"/>
          <w:szCs w:val="24"/>
          <w:bdr w:val="none" w:sz="0" w:space="0" w:color="auto" w:frame="1"/>
        </w:rPr>
        <w:t xml:space="preserve"> auxilio</w:t>
      </w:r>
      <w:r w:rsidRPr="007764D6">
        <w:rPr>
          <w:rFonts w:ascii="Times New Roman" w:hAnsi="Times New Roman" w:cs="Times New Roman"/>
          <w:i/>
          <w:iCs/>
          <w:color w:val="2D2D2D"/>
          <w:sz w:val="24"/>
          <w:szCs w:val="24"/>
          <w:bdr w:val="none" w:sz="0" w:space="0" w:color="auto" w:frame="1"/>
        </w:rPr>
        <w:t xml:space="preserve">, </w:t>
      </w:r>
      <w:r w:rsidRPr="007764D6">
        <w:rPr>
          <w:rFonts w:ascii="Times New Roman" w:hAnsi="Times New Roman" w:cs="Times New Roman"/>
          <w:b/>
          <w:i/>
          <w:iCs/>
          <w:color w:val="2D2D2D"/>
          <w:sz w:val="24"/>
          <w:szCs w:val="24"/>
          <w:u w:val="single"/>
          <w:bdr w:val="none" w:sz="0" w:space="0" w:color="auto" w:frame="1"/>
        </w:rPr>
        <w:t xml:space="preserve">la entidad responsable de la obligación tiene el deber de reconocer y pagar de sus propios recursos, una sanción moratoria consistente en un día de salario por cada día de retardo, hasta tanto se haga efectivo el pago. </w:t>
      </w:r>
      <w:r w:rsidRPr="007764D6">
        <w:rPr>
          <w:rFonts w:ascii="Times New Roman" w:hAnsi="Times New Roman" w:cs="Times New Roman"/>
          <w:i/>
          <w:iCs/>
          <w:color w:val="2D2D2D"/>
          <w:sz w:val="24"/>
          <w:szCs w:val="24"/>
          <w:bdr w:val="none" w:sz="0" w:space="0" w:color="auto" w:frame="1"/>
        </w:rPr>
        <w:t>Para lo cual, solamente es necesario que el afectado acredite la no cancelación dentro del término previsto en las disposiciones legales</w:t>
      </w:r>
      <w:r>
        <w:rPr>
          <w:rFonts w:ascii="Times New Roman" w:hAnsi="Times New Roman" w:cs="Times New Roman"/>
          <w:i/>
          <w:iCs/>
          <w:color w:val="2D2D2D"/>
          <w:sz w:val="24"/>
          <w:szCs w:val="24"/>
          <w:bdr w:val="none" w:sz="0" w:space="0" w:color="auto" w:frame="1"/>
        </w:rPr>
        <w:t>”</w:t>
      </w:r>
      <w:r w:rsidRPr="007764D6">
        <w:rPr>
          <w:rFonts w:ascii="Times New Roman" w:hAnsi="Times New Roman" w:cs="Times New Roman"/>
          <w:i/>
          <w:iCs/>
          <w:color w:val="2D2D2D"/>
          <w:sz w:val="24"/>
          <w:szCs w:val="24"/>
          <w:bdr w:val="none" w:sz="0" w:space="0" w:color="auto" w:frame="1"/>
        </w:rPr>
        <w:t>.</w:t>
      </w:r>
      <w:r>
        <w:rPr>
          <w:rFonts w:ascii="Times New Roman" w:hAnsi="Times New Roman" w:cs="Times New Roman"/>
          <w:i/>
          <w:iCs/>
          <w:color w:val="2D2D2D"/>
          <w:sz w:val="24"/>
          <w:szCs w:val="24"/>
          <w:bdr w:val="none" w:sz="0" w:space="0" w:color="auto" w:frame="1"/>
        </w:rPr>
        <w:t xml:space="preserve"> (negrita y subrayado fuera del texto original) </w:t>
      </w:r>
    </w:p>
    <w:p w:rsidR="000D716A" w:rsidRPr="007764D6"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En vista de lo anterior, es apenas comprensible que esta iniciativa legislativa, busca inexorablemente darle un tratamiento igualitario y según lo ordenado por el órgano de cierre jurisdiccional en el país, en cuanto al tema de cesantías se trata.</w:t>
      </w:r>
    </w:p>
    <w:p w:rsidR="000D716A" w:rsidRDefault="000D716A" w:rsidP="000D716A">
      <w:pPr>
        <w:spacing w:line="240" w:lineRule="auto"/>
        <w:ind w:right="-60" w:firstLine="708"/>
        <w:jc w:val="both"/>
        <w:rPr>
          <w:rFonts w:ascii="Times New Roman" w:hAnsi="Times New Roman" w:cs="Times New Roman"/>
          <w:b/>
          <w:sz w:val="24"/>
          <w:szCs w:val="24"/>
        </w:rPr>
      </w:pPr>
      <w:r>
        <w:rPr>
          <w:rFonts w:ascii="Times New Roman" w:hAnsi="Times New Roman" w:cs="Times New Roman"/>
          <w:b/>
          <w:sz w:val="24"/>
          <w:szCs w:val="24"/>
        </w:rPr>
        <w:t>4. Caso Práctico:</w:t>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Si un docente regido por el Decreto Ley 1278 de 2002 con una asignación mensual de $1.290.757 (nivel más bajo de asignación salarial según decreto 120 de 2016), solicita el pago de sus cesantías parciales por un año de servicio, se le  reconocerán por cesantías parciales $1.290.757, sin embargo, el pago solo fue efectivo 120 días después de los días que por ley tenían para cancelar sin ningún tipo de mora, por lo que deben pagarle esos 120 días de sanción por mora.</w:t>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 xml:space="preserve">Con la aprobación de la ley 1769 de 2015 se reduce el valor del pago de la sanción por mora </w:t>
      </w:r>
      <w:r w:rsidRPr="00714BF8">
        <w:rPr>
          <w:rFonts w:ascii="Times New Roman" w:hAnsi="Times New Roman" w:cs="Times New Roman"/>
          <w:b/>
          <w:sz w:val="24"/>
          <w:szCs w:val="24"/>
        </w:rPr>
        <w:t>solo para los Docentes</w:t>
      </w:r>
      <w:r w:rsidRPr="00714BF8">
        <w:rPr>
          <w:rFonts w:ascii="Times New Roman" w:hAnsi="Times New Roman" w:cs="Times New Roman"/>
          <w:sz w:val="24"/>
          <w:szCs w:val="24"/>
        </w:rPr>
        <w:t>, lo que constituye en una discriminación.</w:t>
      </w:r>
    </w:p>
    <w:p w:rsidR="000D716A" w:rsidRPr="00714BF8"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t>Siguiendo los datos del</w:t>
      </w:r>
      <w:r w:rsidRPr="00714BF8">
        <w:rPr>
          <w:rFonts w:ascii="Times New Roman" w:hAnsi="Times New Roman" w:cs="Times New Roman"/>
          <w:sz w:val="24"/>
          <w:szCs w:val="24"/>
        </w:rPr>
        <w:t xml:space="preserve"> docente de nuestro ejemplo calculamos el pago de sanción por mora antes de esta ley y como se pagará de ahora en adelante, </w:t>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La sanción por mora será la siguiente:</w:t>
      </w:r>
    </w:p>
    <w:p w:rsidR="000D716A" w:rsidRPr="00714BF8" w:rsidRDefault="000D716A" w:rsidP="000D716A">
      <w:pPr>
        <w:pStyle w:val="Prrafodelista"/>
        <w:numPr>
          <w:ilvl w:val="0"/>
          <w:numId w:val="2"/>
        </w:num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Según Ley 1769 de 2015 (Vigente) = DTF efectiva anual, causado diariamente por la suma no pagada.</w:t>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DFT: 6.17% (</w:t>
      </w:r>
      <w:r w:rsidRPr="00714BF8">
        <w:rPr>
          <w:rFonts w:ascii="Times New Roman" w:hAnsi="Times New Roman" w:cs="Times New Roman"/>
          <w:b/>
          <w:bCs/>
          <w:sz w:val="24"/>
          <w:szCs w:val="24"/>
        </w:rPr>
        <w:t>Fuente:</w:t>
      </w:r>
      <w:r w:rsidRPr="00714BF8">
        <w:rPr>
          <w:rFonts w:ascii="Times New Roman" w:hAnsi="Times New Roman" w:cs="Times New Roman"/>
          <w:sz w:val="24"/>
          <w:szCs w:val="24"/>
        </w:rPr>
        <w:t xml:space="preserve"> cálculos Banco de la República con información proveniente de la Superintendencia Financiera)</w:t>
      </w:r>
      <w:r w:rsidRPr="00722BC7">
        <w:rPr>
          <w:rStyle w:val="Refdenotaalpie"/>
          <w:rFonts w:ascii="Times New Roman" w:hAnsi="Times New Roman" w:cs="Times New Roman"/>
          <w:sz w:val="24"/>
          <w:szCs w:val="24"/>
        </w:rPr>
        <w:t xml:space="preserve"> </w:t>
      </w:r>
      <w:r w:rsidRPr="00714BF8">
        <w:rPr>
          <w:rStyle w:val="Refdenotaalpie"/>
          <w:rFonts w:ascii="Times New Roman" w:hAnsi="Times New Roman" w:cs="Times New Roman"/>
          <w:sz w:val="24"/>
          <w:szCs w:val="24"/>
        </w:rPr>
        <w:footnoteReference w:id="1"/>
      </w:r>
      <w:r w:rsidRPr="00714BF8">
        <w:rPr>
          <w:rFonts w:ascii="Times New Roman" w:hAnsi="Times New Roman" w:cs="Times New Roman"/>
          <w:sz w:val="24"/>
          <w:szCs w:val="24"/>
        </w:rPr>
        <w:t xml:space="preserve">  </w:t>
      </w:r>
    </w:p>
    <w:p w:rsidR="000D716A" w:rsidRPr="00714BF8"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t>Tasa diaria efectiva 0.0164</w:t>
      </w:r>
      <w:r w:rsidRPr="00714BF8">
        <w:rPr>
          <w:rFonts w:ascii="Times New Roman" w:hAnsi="Times New Roman" w:cs="Times New Roman"/>
          <w:sz w:val="24"/>
          <w:szCs w:val="24"/>
        </w:rPr>
        <w:t>% (</w:t>
      </w:r>
      <w:r w:rsidRPr="00714BF8">
        <w:rPr>
          <w:rFonts w:ascii="Times New Roman" w:hAnsi="Times New Roman" w:cs="Times New Roman"/>
          <w:b/>
          <w:sz w:val="24"/>
          <w:szCs w:val="24"/>
        </w:rPr>
        <w:t>Fuente:</w:t>
      </w:r>
      <w:r w:rsidRPr="00714BF8">
        <w:rPr>
          <w:rFonts w:ascii="Times New Roman" w:hAnsi="Times New Roman" w:cs="Times New Roman"/>
          <w:sz w:val="24"/>
          <w:szCs w:val="24"/>
        </w:rPr>
        <w:t xml:space="preserve"> La Superintendencia Financiera de Colombia)</w:t>
      </w:r>
      <w:r w:rsidRPr="00722BC7">
        <w:rPr>
          <w:rStyle w:val="Refdenotaalpie"/>
          <w:rFonts w:ascii="Times New Roman" w:hAnsi="Times New Roman" w:cs="Times New Roman"/>
          <w:sz w:val="24"/>
          <w:szCs w:val="24"/>
        </w:rPr>
        <w:t xml:space="preserve"> </w:t>
      </w:r>
      <w:r w:rsidRPr="00714BF8">
        <w:rPr>
          <w:rStyle w:val="Refdenotaalpie"/>
          <w:rFonts w:ascii="Times New Roman" w:hAnsi="Times New Roman" w:cs="Times New Roman"/>
          <w:sz w:val="24"/>
          <w:szCs w:val="24"/>
        </w:rPr>
        <w:footnoteReference w:id="2"/>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 xml:space="preserve">Valor de las cesantías: $1.290.757 </w:t>
      </w:r>
    </w:p>
    <w:p w:rsidR="000D716A" w:rsidRPr="00714BF8" w:rsidRDefault="000D716A" w:rsidP="000D716A">
      <w:pPr>
        <w:spacing w:line="240" w:lineRule="auto"/>
        <w:jc w:val="both"/>
        <w:rPr>
          <w:rFonts w:ascii="Times New Roman" w:hAnsi="Times New Roman" w:cs="Times New Roman"/>
          <w:sz w:val="24"/>
          <w:szCs w:val="24"/>
        </w:rPr>
      </w:pPr>
      <w:r w:rsidRPr="00714BF8">
        <w:rPr>
          <w:rFonts w:ascii="Times New Roman" w:hAnsi="Times New Roman" w:cs="Times New Roman"/>
          <w:sz w:val="24"/>
          <w:szCs w:val="24"/>
        </w:rPr>
        <w:t>Interés causado diariam</w:t>
      </w:r>
      <w:r>
        <w:rPr>
          <w:rFonts w:ascii="Times New Roman" w:hAnsi="Times New Roman" w:cs="Times New Roman"/>
          <w:sz w:val="24"/>
          <w:szCs w:val="24"/>
        </w:rPr>
        <w:t>ente por el valor a pagar = $211,68</w:t>
      </w:r>
      <w:r w:rsidRPr="00714BF8">
        <w:rPr>
          <w:rFonts w:ascii="Times New Roman" w:hAnsi="Times New Roman" w:cs="Times New Roman"/>
          <w:sz w:val="24"/>
          <w:szCs w:val="24"/>
        </w:rPr>
        <w:t xml:space="preserve"> </w:t>
      </w:r>
    </w:p>
    <w:p w:rsidR="000D716A" w:rsidRPr="00714BF8" w:rsidRDefault="000D716A" w:rsidP="000D716A">
      <w:pPr>
        <w:spacing w:line="240" w:lineRule="auto"/>
        <w:jc w:val="center"/>
        <w:rPr>
          <w:rFonts w:ascii="Times New Roman" w:hAnsi="Times New Roman" w:cs="Times New Roman"/>
          <w:sz w:val="24"/>
          <w:szCs w:val="24"/>
        </w:rPr>
      </w:pPr>
      <w:r w:rsidRPr="00714BF8">
        <w:rPr>
          <w:rFonts w:ascii="Times New Roman" w:hAnsi="Times New Roman" w:cs="Times New Roman"/>
          <w:sz w:val="24"/>
          <w:szCs w:val="24"/>
        </w:rPr>
        <w:t>Pago por mora = $215,21 * 120 días de mora</w:t>
      </w:r>
    </w:p>
    <w:p w:rsidR="000D716A" w:rsidRPr="00714BF8" w:rsidRDefault="000D716A" w:rsidP="000D716A">
      <w:pPr>
        <w:spacing w:line="240" w:lineRule="auto"/>
        <w:jc w:val="center"/>
        <w:rPr>
          <w:rFonts w:ascii="Times New Roman" w:hAnsi="Times New Roman" w:cs="Times New Roman"/>
          <w:b/>
          <w:sz w:val="24"/>
          <w:szCs w:val="24"/>
        </w:rPr>
      </w:pPr>
      <w:r w:rsidRPr="00714BF8">
        <w:rPr>
          <w:rFonts w:ascii="Times New Roman" w:hAnsi="Times New Roman" w:cs="Times New Roman"/>
          <w:b/>
          <w:sz w:val="24"/>
          <w:szCs w:val="24"/>
        </w:rPr>
        <w:t xml:space="preserve">Pago por mora por </w:t>
      </w:r>
      <w:r>
        <w:rPr>
          <w:rFonts w:ascii="Times New Roman" w:hAnsi="Times New Roman" w:cs="Times New Roman"/>
          <w:b/>
          <w:sz w:val="24"/>
          <w:szCs w:val="24"/>
        </w:rPr>
        <w:t>los 120 días = $25.401,6</w:t>
      </w:r>
    </w:p>
    <w:p w:rsidR="000D716A" w:rsidRPr="00714BF8" w:rsidRDefault="000D716A" w:rsidP="000D716A">
      <w:pPr>
        <w:pStyle w:val="Prrafodelista"/>
        <w:numPr>
          <w:ilvl w:val="0"/>
          <w:numId w:val="2"/>
        </w:numPr>
        <w:spacing w:line="240" w:lineRule="auto"/>
        <w:jc w:val="center"/>
        <w:rPr>
          <w:rFonts w:ascii="Times New Roman" w:hAnsi="Times New Roman" w:cs="Times New Roman"/>
          <w:b/>
          <w:sz w:val="24"/>
          <w:szCs w:val="24"/>
        </w:rPr>
      </w:pPr>
      <w:r w:rsidRPr="00714BF8">
        <w:rPr>
          <w:rFonts w:ascii="Times New Roman" w:hAnsi="Times New Roman" w:cs="Times New Roman"/>
          <w:sz w:val="24"/>
          <w:szCs w:val="24"/>
        </w:rPr>
        <w:t xml:space="preserve">Según Ley 1071 de 2006: 1 día de Salario por cada día de retardo </w:t>
      </w:r>
    </w:p>
    <w:p w:rsidR="000D716A" w:rsidRPr="00714BF8" w:rsidRDefault="000D716A" w:rsidP="000D716A">
      <w:pPr>
        <w:pStyle w:val="Prrafodelista"/>
        <w:spacing w:line="240" w:lineRule="auto"/>
        <w:rPr>
          <w:rFonts w:ascii="Times New Roman" w:hAnsi="Times New Roman" w:cs="Times New Roman"/>
          <w:sz w:val="24"/>
          <w:szCs w:val="24"/>
        </w:rPr>
      </w:pPr>
    </w:p>
    <w:p w:rsidR="000D716A" w:rsidRPr="00714BF8" w:rsidRDefault="000D716A" w:rsidP="000D716A">
      <w:pPr>
        <w:pStyle w:val="Prrafodelista"/>
        <w:spacing w:line="240" w:lineRule="auto"/>
        <w:jc w:val="center"/>
        <w:rPr>
          <w:rFonts w:ascii="Times New Roman" w:hAnsi="Times New Roman" w:cs="Times New Roman"/>
          <w:b/>
          <w:sz w:val="24"/>
          <w:szCs w:val="24"/>
        </w:rPr>
      </w:pPr>
      <w:r w:rsidRPr="00714BF8">
        <w:rPr>
          <w:rFonts w:ascii="Times New Roman" w:hAnsi="Times New Roman" w:cs="Times New Roman"/>
          <w:b/>
          <w:sz w:val="24"/>
          <w:szCs w:val="24"/>
        </w:rPr>
        <w:t>$43.025,23 x 120 días de mora = $5.163.028</w:t>
      </w:r>
    </w:p>
    <w:p w:rsidR="000D716A" w:rsidRDefault="000D716A" w:rsidP="000D716A">
      <w:pPr>
        <w:spacing w:line="240" w:lineRule="auto"/>
        <w:jc w:val="center"/>
        <w:rPr>
          <w:rFonts w:ascii="Times New Roman" w:hAnsi="Times New Roman" w:cs="Times New Roman"/>
          <w:b/>
          <w:sz w:val="24"/>
          <w:szCs w:val="24"/>
        </w:rPr>
      </w:pPr>
      <w:r w:rsidRPr="00714BF8">
        <w:rPr>
          <w:rFonts w:ascii="Times New Roman" w:hAnsi="Times New Roman" w:cs="Times New Roman"/>
          <w:b/>
          <w:sz w:val="24"/>
          <w:szCs w:val="24"/>
        </w:rPr>
        <w:lastRenderedPageBreak/>
        <w:t>Pago por mora por los 120 días = $5.163.028</w:t>
      </w:r>
    </w:p>
    <w:p w:rsidR="000D716A" w:rsidRDefault="000D716A" w:rsidP="000D716A">
      <w:pPr>
        <w:spacing w:line="240" w:lineRule="auto"/>
        <w:jc w:val="center"/>
        <w:rPr>
          <w:rFonts w:ascii="Times New Roman" w:hAnsi="Times New Roman" w:cs="Times New Roman"/>
          <w:b/>
          <w:sz w:val="24"/>
          <w:szCs w:val="24"/>
        </w:rPr>
      </w:pPr>
    </w:p>
    <w:p w:rsidR="000D716A" w:rsidRDefault="000D716A" w:rsidP="000D716A">
      <w:pPr>
        <w:spacing w:line="240" w:lineRule="auto"/>
        <w:ind w:firstLine="708"/>
        <w:rPr>
          <w:rFonts w:ascii="Times New Roman" w:hAnsi="Times New Roman" w:cs="Times New Roman"/>
          <w:b/>
          <w:sz w:val="24"/>
          <w:szCs w:val="24"/>
        </w:rPr>
      </w:pPr>
      <w:r>
        <w:rPr>
          <w:rFonts w:ascii="Times New Roman" w:hAnsi="Times New Roman" w:cs="Times New Roman"/>
          <w:b/>
          <w:sz w:val="24"/>
          <w:szCs w:val="24"/>
        </w:rPr>
        <w:t xml:space="preserve">5. Conveniencia del Proyecto. </w:t>
      </w:r>
    </w:p>
    <w:p w:rsidR="000D716A"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t>Como se observó y analizó en los acápites anteriores, el presente proyecto de ley, es absolutamente conveniente, en cuanto a términos de legalidad, jurisprudencia, igualdad y ecuanimidad cuando el reconocimiento del pago de cesantías sea retardado por la entidad a cargo del mismo, de tal suerte, que se considera que la legislación modificó de manera flagrantemente violatoria la sanción por dicho retardo y esta debe ser derogada.</w:t>
      </w:r>
    </w:p>
    <w:p w:rsidR="000D716A" w:rsidRDefault="000D716A" w:rsidP="000D716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Es por ello, que presentamos a su consideración esta iniciativa legal para que sea discutida, y examinada con el detenimiento conveniente para que sean los maestros de Colombia quienes encuentren igualdad en sus derechos con relación a las demás profesiones en cuanto a garantías prestacionales adquiridas. </w:t>
      </w:r>
    </w:p>
    <w:p w:rsidR="000D716A" w:rsidRDefault="000D716A" w:rsidP="000D716A">
      <w:pPr>
        <w:spacing w:line="240" w:lineRule="auto"/>
        <w:jc w:val="both"/>
        <w:rPr>
          <w:rFonts w:ascii="Times New Roman" w:hAnsi="Times New Roman" w:cs="Times New Roman"/>
          <w:b/>
          <w:sz w:val="24"/>
          <w:szCs w:val="24"/>
          <w:lang w:val="es-ES"/>
        </w:rPr>
      </w:pPr>
    </w:p>
    <w:p w:rsidR="000D716A" w:rsidRPr="006E6146" w:rsidRDefault="000D716A" w:rsidP="000D716A">
      <w:pPr>
        <w:spacing w:line="240" w:lineRule="auto"/>
        <w:jc w:val="both"/>
        <w:rPr>
          <w:rFonts w:ascii="Times New Roman" w:hAnsi="Times New Roman" w:cs="Times New Roman"/>
          <w:b/>
          <w:sz w:val="24"/>
          <w:szCs w:val="24"/>
          <w:lang w:val="es-ES"/>
        </w:rPr>
      </w:pPr>
      <w:r w:rsidRPr="006E6146">
        <w:rPr>
          <w:rFonts w:ascii="Times New Roman" w:hAnsi="Times New Roman" w:cs="Times New Roman"/>
          <w:b/>
          <w:sz w:val="24"/>
          <w:szCs w:val="24"/>
          <w:lang w:val="es-ES"/>
        </w:rPr>
        <w:t>De los Honorables Congresistas.</w:t>
      </w:r>
    </w:p>
    <w:p w:rsidR="000D716A" w:rsidRPr="006E6146" w:rsidRDefault="000D716A" w:rsidP="000D716A">
      <w:pPr>
        <w:spacing w:line="240" w:lineRule="auto"/>
        <w:jc w:val="both"/>
        <w:rPr>
          <w:rFonts w:ascii="Times New Roman" w:hAnsi="Times New Roman" w:cs="Times New Roman"/>
          <w:b/>
          <w:sz w:val="24"/>
          <w:szCs w:val="24"/>
          <w:lang w:val="es-ES"/>
        </w:rPr>
      </w:pPr>
    </w:p>
    <w:p w:rsidR="000D716A" w:rsidRPr="006E6146" w:rsidRDefault="000D716A" w:rsidP="000D716A">
      <w:pPr>
        <w:spacing w:after="0" w:line="240" w:lineRule="auto"/>
        <w:jc w:val="both"/>
        <w:rPr>
          <w:rFonts w:ascii="Times New Roman" w:hAnsi="Times New Roman" w:cs="Times New Roman"/>
          <w:b/>
          <w:sz w:val="24"/>
          <w:szCs w:val="24"/>
        </w:rPr>
      </w:pPr>
      <w:r w:rsidRPr="006E6146">
        <w:rPr>
          <w:rFonts w:ascii="Times New Roman" w:hAnsi="Times New Roman" w:cs="Times New Roman"/>
          <w:b/>
          <w:sz w:val="24"/>
          <w:szCs w:val="24"/>
        </w:rPr>
        <w:t>_________________________</w:t>
      </w:r>
    </w:p>
    <w:p w:rsidR="000D716A" w:rsidRPr="006E6146" w:rsidRDefault="000D716A" w:rsidP="000D716A">
      <w:pPr>
        <w:spacing w:after="0" w:line="240" w:lineRule="auto"/>
        <w:jc w:val="both"/>
        <w:rPr>
          <w:rFonts w:ascii="Times New Roman" w:hAnsi="Times New Roman" w:cs="Times New Roman"/>
          <w:b/>
          <w:sz w:val="24"/>
          <w:szCs w:val="24"/>
        </w:rPr>
      </w:pPr>
      <w:r w:rsidRPr="006E6146">
        <w:rPr>
          <w:rFonts w:ascii="Times New Roman" w:hAnsi="Times New Roman" w:cs="Times New Roman"/>
          <w:b/>
          <w:sz w:val="24"/>
          <w:szCs w:val="24"/>
        </w:rPr>
        <w:t>SENÉN NIÑO AVENDAÑO</w:t>
      </w:r>
    </w:p>
    <w:p w:rsidR="000D716A" w:rsidRPr="006E6146" w:rsidRDefault="000D716A" w:rsidP="000D716A">
      <w:pPr>
        <w:spacing w:after="0" w:line="240" w:lineRule="auto"/>
        <w:jc w:val="both"/>
        <w:rPr>
          <w:rFonts w:ascii="Times New Roman" w:hAnsi="Times New Roman" w:cs="Times New Roman"/>
          <w:b/>
          <w:sz w:val="24"/>
          <w:szCs w:val="24"/>
        </w:rPr>
      </w:pPr>
      <w:r w:rsidRPr="006E6146">
        <w:rPr>
          <w:rFonts w:ascii="Times New Roman" w:hAnsi="Times New Roman" w:cs="Times New Roman"/>
          <w:b/>
          <w:sz w:val="24"/>
          <w:szCs w:val="24"/>
        </w:rPr>
        <w:t>SENADOR DE LA REPÚBLICA</w:t>
      </w:r>
    </w:p>
    <w:p w:rsidR="001615A1" w:rsidRDefault="001615A1" w:rsidP="000D716A">
      <w:pPr>
        <w:spacing w:line="240" w:lineRule="auto"/>
      </w:pPr>
    </w:p>
    <w:sectPr w:rsidR="001615A1">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7A8" w:rsidRDefault="00E637A8" w:rsidP="000D716A">
      <w:pPr>
        <w:spacing w:after="0" w:line="240" w:lineRule="auto"/>
      </w:pPr>
      <w:r>
        <w:separator/>
      </w:r>
    </w:p>
  </w:endnote>
  <w:endnote w:type="continuationSeparator" w:id="0">
    <w:p w:rsidR="00E637A8" w:rsidRDefault="00E637A8" w:rsidP="000D7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16A" w:rsidRDefault="000D716A" w:rsidP="000D716A">
    <w:pPr>
      <w:pStyle w:val="Piedepgina"/>
      <w:tabs>
        <w:tab w:val="left" w:pos="1291"/>
      </w:tabs>
      <w:jc w:val="center"/>
    </w:pPr>
    <w:r>
      <w:rPr>
        <w:noProof/>
        <w:lang w:eastAsia="es-CO"/>
      </w:rPr>
      <w:drawing>
        <wp:inline distT="0" distB="0" distL="0" distR="0" wp14:anchorId="757FC34B" wp14:editId="4174174C">
          <wp:extent cx="3110865" cy="26289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0865" cy="262890"/>
                  </a:xfrm>
                  <a:prstGeom prst="rect">
                    <a:avLst/>
                  </a:prstGeom>
                  <a:noFill/>
                  <a:ln>
                    <a:noFill/>
                  </a:ln>
                </pic:spPr>
              </pic:pic>
            </a:graphicData>
          </a:graphic>
        </wp:inline>
      </w:drawing>
    </w:r>
  </w:p>
  <w:p w:rsidR="000D716A" w:rsidRDefault="000D716A" w:rsidP="000D716A">
    <w:pPr>
      <w:pStyle w:val="Piedepgina"/>
      <w:jc w:val="center"/>
      <w:rPr>
        <w:rFonts w:ascii="Gill Sans MT" w:hAnsi="Gill Sans MT"/>
        <w:spacing w:val="60"/>
        <w:sz w:val="20"/>
        <w:szCs w:val="20"/>
      </w:rPr>
    </w:pPr>
    <w:r>
      <w:rPr>
        <w:rFonts w:ascii="Gill Sans MT" w:hAnsi="Gill Sans MT"/>
        <w:spacing w:val="60"/>
        <w:sz w:val="20"/>
        <w:szCs w:val="20"/>
      </w:rPr>
      <w:t>Edifico Nuevo del Congreso Cra 7ª No 8-68 Oficina: 536</w:t>
    </w:r>
  </w:p>
  <w:p w:rsidR="000D716A" w:rsidRPr="00107B9C" w:rsidRDefault="000D716A" w:rsidP="000D716A">
    <w:pPr>
      <w:pStyle w:val="Piedepgina"/>
      <w:jc w:val="center"/>
      <w:rPr>
        <w:rFonts w:ascii="Gill Sans MT" w:hAnsi="Gill Sans MT"/>
        <w:spacing w:val="60"/>
        <w:sz w:val="20"/>
        <w:szCs w:val="20"/>
        <w:lang w:val="en-US"/>
      </w:rPr>
    </w:pPr>
    <w:r w:rsidRPr="00AC6206">
      <w:rPr>
        <w:rFonts w:ascii="Gill Sans MT" w:hAnsi="Gill Sans MT"/>
        <w:spacing w:val="60"/>
        <w:sz w:val="20"/>
        <w:szCs w:val="20"/>
      </w:rPr>
      <w:t xml:space="preserve"> </w:t>
    </w:r>
    <w:r>
      <w:rPr>
        <w:rFonts w:ascii="Gill Sans MT" w:hAnsi="Gill Sans MT"/>
        <w:spacing w:val="60"/>
        <w:sz w:val="20"/>
        <w:szCs w:val="20"/>
        <w:lang w:val="en-US"/>
      </w:rPr>
      <w:t xml:space="preserve">Tels: 3823519 – </w:t>
    </w:r>
    <w:r w:rsidRPr="00107B9C">
      <w:rPr>
        <w:rFonts w:ascii="Gill Sans MT" w:hAnsi="Gill Sans MT"/>
        <w:spacing w:val="60"/>
        <w:sz w:val="20"/>
        <w:szCs w:val="20"/>
        <w:lang w:val="en-US"/>
      </w:rPr>
      <w:t>382</w:t>
    </w:r>
    <w:r>
      <w:rPr>
        <w:rFonts w:ascii="Gill Sans MT" w:hAnsi="Gill Sans MT"/>
        <w:spacing w:val="60"/>
        <w:sz w:val="20"/>
        <w:szCs w:val="20"/>
        <w:lang w:val="en-US"/>
      </w:rPr>
      <w:t xml:space="preserve">3510 </w:t>
    </w:r>
    <w:r w:rsidRPr="00107B9C">
      <w:rPr>
        <w:rFonts w:ascii="Gill Sans MT" w:hAnsi="Gill Sans MT"/>
        <w:spacing w:val="60"/>
        <w:sz w:val="20"/>
        <w:szCs w:val="20"/>
        <w:lang w:val="en-US"/>
      </w:rPr>
      <w:t xml:space="preserve">Fax: </w:t>
    </w:r>
    <w:r>
      <w:rPr>
        <w:rFonts w:ascii="Gill Sans MT" w:hAnsi="Gill Sans MT"/>
        <w:spacing w:val="60"/>
        <w:sz w:val="20"/>
        <w:szCs w:val="20"/>
        <w:lang w:val="en-US"/>
      </w:rPr>
      <w:t>3823520</w:t>
    </w:r>
  </w:p>
  <w:p w:rsidR="000D716A" w:rsidRPr="00107B9C" w:rsidRDefault="0040590B" w:rsidP="000D716A">
    <w:pPr>
      <w:pStyle w:val="Piedepgina"/>
      <w:jc w:val="center"/>
      <w:rPr>
        <w:color w:val="333333"/>
        <w:sz w:val="20"/>
        <w:szCs w:val="20"/>
        <w:lang w:val="en-US"/>
      </w:rPr>
    </w:pPr>
    <w:hyperlink r:id="rId2" w:history="1">
      <w:r w:rsidR="000D716A" w:rsidRPr="00054987">
        <w:rPr>
          <w:rStyle w:val="Hipervnculo"/>
          <w:rFonts w:ascii="Gill Sans MT" w:hAnsi="Gill Sans MT"/>
          <w:spacing w:val="60"/>
          <w:sz w:val="20"/>
          <w:szCs w:val="20"/>
          <w:lang w:val="en-US"/>
        </w:rPr>
        <w:t>www.senenadorsenen</w:t>
      </w:r>
    </w:hyperlink>
    <w:r w:rsidR="000D716A" w:rsidRPr="00107B9C">
      <w:rPr>
        <w:rFonts w:ascii="Gill Sans MT" w:hAnsi="Gill Sans MT"/>
        <w:spacing w:val="60"/>
        <w:sz w:val="20"/>
        <w:szCs w:val="20"/>
        <w:lang w:val="en-US"/>
      </w:rPr>
      <w:t>.com</w:t>
    </w:r>
  </w:p>
  <w:p w:rsidR="000D716A" w:rsidRDefault="000D71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7A8" w:rsidRDefault="00E637A8" w:rsidP="000D716A">
      <w:pPr>
        <w:spacing w:after="0" w:line="240" w:lineRule="auto"/>
      </w:pPr>
      <w:r>
        <w:separator/>
      </w:r>
    </w:p>
  </w:footnote>
  <w:footnote w:type="continuationSeparator" w:id="0">
    <w:p w:rsidR="00E637A8" w:rsidRDefault="00E637A8" w:rsidP="000D716A">
      <w:pPr>
        <w:spacing w:after="0" w:line="240" w:lineRule="auto"/>
      </w:pPr>
      <w:r>
        <w:continuationSeparator/>
      </w:r>
    </w:p>
  </w:footnote>
  <w:footnote w:id="1">
    <w:p w:rsidR="000D716A" w:rsidRPr="00570D0B" w:rsidRDefault="000D716A" w:rsidP="000D716A">
      <w:pPr>
        <w:pStyle w:val="Textonotapie"/>
      </w:pPr>
      <w:r>
        <w:rPr>
          <w:rStyle w:val="Refdenotaalpie"/>
        </w:rPr>
        <w:footnoteRef/>
      </w:r>
      <w:r>
        <w:t xml:space="preserve"> </w:t>
      </w:r>
      <w:r w:rsidRPr="00570D0B">
        <w:t>http://www.banrep.org/series-estadisticas/see_tas_inter_capt_sem_men.htm</w:t>
      </w:r>
    </w:p>
  </w:footnote>
  <w:footnote w:id="2">
    <w:p w:rsidR="000D716A" w:rsidRPr="00570D0B" w:rsidRDefault="000D716A" w:rsidP="000D716A">
      <w:pPr>
        <w:pStyle w:val="Textonotapie"/>
      </w:pPr>
      <w:r>
        <w:rPr>
          <w:rStyle w:val="Refdenotaalpie"/>
        </w:rPr>
        <w:footnoteRef/>
      </w:r>
      <w:r>
        <w:t xml:space="preserve"> </w:t>
      </w:r>
      <w:r w:rsidRPr="00570D0B">
        <w:t>https://www.superfinanciera.gov.co/reportes/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16A" w:rsidRDefault="000D716A" w:rsidP="000D716A">
    <w:pPr>
      <w:pStyle w:val="Encabezado"/>
      <w:jc w:val="center"/>
    </w:pPr>
    <w:r>
      <w:rPr>
        <w:noProof/>
        <w:szCs w:val="18"/>
        <w:lang w:eastAsia="es-CO"/>
      </w:rPr>
      <w:drawing>
        <wp:inline distT="0" distB="0" distL="0" distR="0" wp14:anchorId="5A16B6DE" wp14:editId="34725BBC">
          <wp:extent cx="2830286" cy="849086"/>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0568" cy="849171"/>
                  </a:xfrm>
                  <a:prstGeom prst="rect">
                    <a:avLst/>
                  </a:prstGeom>
                  <a:noFill/>
                  <a:ln>
                    <a:noFill/>
                  </a:ln>
                </pic:spPr>
              </pic:pic>
            </a:graphicData>
          </a:graphic>
        </wp:inline>
      </w:drawing>
    </w:r>
  </w:p>
  <w:p w:rsidR="000D716A" w:rsidRDefault="000D716A" w:rsidP="000D716A">
    <w:pPr>
      <w:pStyle w:val="Encabezado"/>
      <w:jc w:val="center"/>
      <w:rPr>
        <w:rFonts w:ascii="Century" w:hAnsi="Century"/>
        <w:i/>
        <w:sz w:val="24"/>
        <w:szCs w:val="24"/>
      </w:rPr>
    </w:pPr>
    <w:r>
      <w:rPr>
        <w:rFonts w:ascii="Century" w:hAnsi="Century"/>
        <w:i/>
        <w:sz w:val="24"/>
        <w:szCs w:val="24"/>
      </w:rPr>
      <w:t xml:space="preserve">Senén Niño Avendaño </w:t>
    </w:r>
  </w:p>
  <w:p w:rsidR="000D716A" w:rsidRPr="009F0631" w:rsidRDefault="000D716A" w:rsidP="000D716A">
    <w:pPr>
      <w:pStyle w:val="Encabezado"/>
      <w:jc w:val="center"/>
      <w:rPr>
        <w:rFonts w:ascii="Century" w:hAnsi="Century"/>
        <w:i/>
        <w:sz w:val="24"/>
        <w:szCs w:val="24"/>
      </w:rPr>
    </w:pPr>
    <w:r>
      <w:rPr>
        <w:rFonts w:ascii="Century" w:hAnsi="Century"/>
        <w:i/>
        <w:sz w:val="24"/>
        <w:szCs w:val="24"/>
      </w:rPr>
      <w:t>Senador de la República.</w:t>
    </w:r>
  </w:p>
  <w:p w:rsidR="000D716A" w:rsidRDefault="000D716A" w:rsidP="000D716A">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81A00"/>
    <w:multiLevelType w:val="multilevel"/>
    <w:tmpl w:val="E7FAF3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8C07886"/>
    <w:multiLevelType w:val="hybridMultilevel"/>
    <w:tmpl w:val="5044CCD2"/>
    <w:lvl w:ilvl="0" w:tplc="6B66ABFC">
      <w:start w:val="1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16A"/>
    <w:rsid w:val="000D716A"/>
    <w:rsid w:val="001615A1"/>
    <w:rsid w:val="002E7845"/>
    <w:rsid w:val="0040590B"/>
    <w:rsid w:val="008C5A49"/>
    <w:rsid w:val="00E637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0D716A"/>
    <w:pPr>
      <w:spacing w:after="0" w:line="240" w:lineRule="auto"/>
    </w:pPr>
    <w:rPr>
      <w:sz w:val="20"/>
      <w:szCs w:val="20"/>
    </w:rPr>
  </w:style>
  <w:style w:type="character" w:customStyle="1" w:styleId="TextonotapieCar">
    <w:name w:val="Texto nota pie Car"/>
    <w:basedOn w:val="Fuentedeprrafopredeter"/>
    <w:link w:val="Textonotapie"/>
    <w:uiPriority w:val="99"/>
    <w:rsid w:val="000D716A"/>
    <w:rPr>
      <w:sz w:val="20"/>
      <w:szCs w:val="20"/>
    </w:rPr>
  </w:style>
  <w:style w:type="character" w:styleId="Refdenotaalpie">
    <w:name w:val="footnote reference"/>
    <w:basedOn w:val="Fuentedeprrafopredeter"/>
    <w:uiPriority w:val="99"/>
    <w:unhideWhenUsed/>
    <w:rsid w:val="000D716A"/>
    <w:rPr>
      <w:vertAlign w:val="superscript"/>
    </w:rPr>
  </w:style>
  <w:style w:type="paragraph" w:styleId="Prrafodelista">
    <w:name w:val="List Paragraph"/>
    <w:basedOn w:val="Normal"/>
    <w:uiPriority w:val="34"/>
    <w:qFormat/>
    <w:rsid w:val="000D716A"/>
    <w:pPr>
      <w:ind w:left="720"/>
      <w:contextualSpacing/>
    </w:pPr>
  </w:style>
  <w:style w:type="table" w:styleId="Tablaconcuadrcula">
    <w:name w:val="Table Grid"/>
    <w:basedOn w:val="Tablanormal"/>
    <w:uiPriority w:val="59"/>
    <w:rsid w:val="000D71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0D716A"/>
  </w:style>
  <w:style w:type="paragraph" w:styleId="Encabezado">
    <w:name w:val="header"/>
    <w:basedOn w:val="Normal"/>
    <w:link w:val="EncabezadoCar"/>
    <w:uiPriority w:val="99"/>
    <w:unhideWhenUsed/>
    <w:rsid w:val="000D71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716A"/>
  </w:style>
  <w:style w:type="paragraph" w:styleId="Piedepgina">
    <w:name w:val="footer"/>
    <w:basedOn w:val="Normal"/>
    <w:link w:val="PiedepginaCar"/>
    <w:unhideWhenUsed/>
    <w:rsid w:val="000D716A"/>
    <w:pPr>
      <w:tabs>
        <w:tab w:val="center" w:pos="4419"/>
        <w:tab w:val="right" w:pos="8838"/>
      </w:tabs>
      <w:spacing w:after="0" w:line="240" w:lineRule="auto"/>
    </w:pPr>
  </w:style>
  <w:style w:type="character" w:customStyle="1" w:styleId="PiedepginaCar">
    <w:name w:val="Pie de página Car"/>
    <w:basedOn w:val="Fuentedeprrafopredeter"/>
    <w:link w:val="Piedepgina"/>
    <w:rsid w:val="000D716A"/>
  </w:style>
  <w:style w:type="paragraph" w:styleId="Textodeglobo">
    <w:name w:val="Balloon Text"/>
    <w:basedOn w:val="Normal"/>
    <w:link w:val="TextodegloboCar"/>
    <w:uiPriority w:val="99"/>
    <w:semiHidden/>
    <w:unhideWhenUsed/>
    <w:rsid w:val="000D71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16A"/>
    <w:rPr>
      <w:rFonts w:ascii="Tahoma" w:hAnsi="Tahoma" w:cs="Tahoma"/>
      <w:sz w:val="16"/>
      <w:szCs w:val="16"/>
    </w:rPr>
  </w:style>
  <w:style w:type="character" w:styleId="Hipervnculo">
    <w:name w:val="Hyperlink"/>
    <w:basedOn w:val="Fuentedeprrafopredeter"/>
    <w:uiPriority w:val="99"/>
    <w:unhideWhenUsed/>
    <w:rsid w:val="000D716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0D716A"/>
    <w:pPr>
      <w:spacing w:after="0" w:line="240" w:lineRule="auto"/>
    </w:pPr>
    <w:rPr>
      <w:sz w:val="20"/>
      <w:szCs w:val="20"/>
    </w:rPr>
  </w:style>
  <w:style w:type="character" w:customStyle="1" w:styleId="TextonotapieCar">
    <w:name w:val="Texto nota pie Car"/>
    <w:basedOn w:val="Fuentedeprrafopredeter"/>
    <w:link w:val="Textonotapie"/>
    <w:uiPriority w:val="99"/>
    <w:rsid w:val="000D716A"/>
    <w:rPr>
      <w:sz w:val="20"/>
      <w:szCs w:val="20"/>
    </w:rPr>
  </w:style>
  <w:style w:type="character" w:styleId="Refdenotaalpie">
    <w:name w:val="footnote reference"/>
    <w:basedOn w:val="Fuentedeprrafopredeter"/>
    <w:uiPriority w:val="99"/>
    <w:unhideWhenUsed/>
    <w:rsid w:val="000D716A"/>
    <w:rPr>
      <w:vertAlign w:val="superscript"/>
    </w:rPr>
  </w:style>
  <w:style w:type="paragraph" w:styleId="Prrafodelista">
    <w:name w:val="List Paragraph"/>
    <w:basedOn w:val="Normal"/>
    <w:uiPriority w:val="34"/>
    <w:qFormat/>
    <w:rsid w:val="000D716A"/>
    <w:pPr>
      <w:ind w:left="720"/>
      <w:contextualSpacing/>
    </w:pPr>
  </w:style>
  <w:style w:type="table" w:styleId="Tablaconcuadrcula">
    <w:name w:val="Table Grid"/>
    <w:basedOn w:val="Tablanormal"/>
    <w:uiPriority w:val="59"/>
    <w:rsid w:val="000D71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0D716A"/>
  </w:style>
  <w:style w:type="paragraph" w:styleId="Encabezado">
    <w:name w:val="header"/>
    <w:basedOn w:val="Normal"/>
    <w:link w:val="EncabezadoCar"/>
    <w:uiPriority w:val="99"/>
    <w:unhideWhenUsed/>
    <w:rsid w:val="000D71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716A"/>
  </w:style>
  <w:style w:type="paragraph" w:styleId="Piedepgina">
    <w:name w:val="footer"/>
    <w:basedOn w:val="Normal"/>
    <w:link w:val="PiedepginaCar"/>
    <w:unhideWhenUsed/>
    <w:rsid w:val="000D716A"/>
    <w:pPr>
      <w:tabs>
        <w:tab w:val="center" w:pos="4419"/>
        <w:tab w:val="right" w:pos="8838"/>
      </w:tabs>
      <w:spacing w:after="0" w:line="240" w:lineRule="auto"/>
    </w:pPr>
  </w:style>
  <w:style w:type="character" w:customStyle="1" w:styleId="PiedepginaCar">
    <w:name w:val="Pie de página Car"/>
    <w:basedOn w:val="Fuentedeprrafopredeter"/>
    <w:link w:val="Piedepgina"/>
    <w:rsid w:val="000D716A"/>
  </w:style>
  <w:style w:type="paragraph" w:styleId="Textodeglobo">
    <w:name w:val="Balloon Text"/>
    <w:basedOn w:val="Normal"/>
    <w:link w:val="TextodegloboCar"/>
    <w:uiPriority w:val="99"/>
    <w:semiHidden/>
    <w:unhideWhenUsed/>
    <w:rsid w:val="000D71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16A"/>
    <w:rPr>
      <w:rFonts w:ascii="Tahoma" w:hAnsi="Tahoma" w:cs="Tahoma"/>
      <w:sz w:val="16"/>
      <w:szCs w:val="16"/>
    </w:rPr>
  </w:style>
  <w:style w:type="character" w:styleId="Hipervnculo">
    <w:name w:val="Hyperlink"/>
    <w:basedOn w:val="Fuentedeprrafopredeter"/>
    <w:uiPriority w:val="99"/>
    <w:unhideWhenUsed/>
    <w:rsid w:val="000D71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1071_2006.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cretariasenado.gov.co/senado/basedoc/ley_1769_2015_pr001.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enenadorsenen"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1123</Words>
  <Characters>6181</Characters>
  <Application>Microsoft Office Word</Application>
  <DocSecurity>4</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Admin</cp:lastModifiedBy>
  <cp:revision>2</cp:revision>
  <dcterms:created xsi:type="dcterms:W3CDTF">2016-03-16T17:47:00Z</dcterms:created>
  <dcterms:modified xsi:type="dcterms:W3CDTF">2016-03-16T17:47:00Z</dcterms:modified>
</cp:coreProperties>
</file>