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drawings/drawing5.xml" ContentType="application/vnd.openxmlformats-officedocument.drawingml.chartshapes+xml"/>
  <Override PartName="/word/charts/chart6.xml" ContentType="application/vnd.openxmlformats-officedocument.drawingml.chart+xml"/>
  <Override PartName="/word/drawings/drawing6.xml" ContentType="application/vnd.openxmlformats-officedocument.drawingml.chartshapes+xml"/>
  <Override PartName="/word/charts/chart7.xml" ContentType="application/vnd.openxmlformats-officedocument.drawingml.chart+xml"/>
  <Override PartName="/word/drawings/drawing7.xml" ContentType="application/vnd.openxmlformats-officedocument.drawingml.chartshapes+xml"/>
  <Override PartName="/word/charts/chart8.xml" ContentType="application/vnd.openxmlformats-officedocument.drawingml.chart+xml"/>
  <Override PartName="/word/drawings/drawing8.xml" ContentType="application/vnd.openxmlformats-officedocument.drawingml.chartshapes+xml"/>
  <Override PartName="/word/charts/chart9.xml" ContentType="application/vnd.openxmlformats-officedocument.drawingml.chart+xml"/>
  <Override PartName="/word/drawings/drawing9.xml" ContentType="application/vnd.openxmlformats-officedocument.drawingml.chartshapes+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1AB" w:rsidRDefault="00C811AB" w:rsidP="00816F22">
      <w:pPr>
        <w:spacing w:after="0" w:line="240" w:lineRule="auto"/>
        <w:jc w:val="center"/>
        <w:rPr>
          <w:rFonts w:ascii="Book Antiqua" w:hAnsi="Book Antiqua"/>
          <w:b/>
          <w:sz w:val="24"/>
          <w:szCs w:val="24"/>
        </w:rPr>
      </w:pPr>
    </w:p>
    <w:p w:rsidR="00C811AB" w:rsidRDefault="00C811AB" w:rsidP="00816F22">
      <w:pPr>
        <w:spacing w:after="0" w:line="240" w:lineRule="auto"/>
        <w:jc w:val="center"/>
        <w:rPr>
          <w:rFonts w:ascii="Book Antiqua" w:hAnsi="Book Antiqua"/>
          <w:b/>
          <w:sz w:val="24"/>
          <w:szCs w:val="24"/>
        </w:rPr>
      </w:pPr>
    </w:p>
    <w:p w:rsidR="00816F22" w:rsidRDefault="00816F22" w:rsidP="00816F22">
      <w:pPr>
        <w:spacing w:after="0" w:line="240" w:lineRule="auto"/>
        <w:jc w:val="center"/>
        <w:rPr>
          <w:rFonts w:ascii="Book Antiqua" w:hAnsi="Book Antiqua"/>
          <w:b/>
          <w:sz w:val="24"/>
          <w:szCs w:val="24"/>
        </w:rPr>
      </w:pPr>
      <w:r w:rsidRPr="00816F22">
        <w:rPr>
          <w:rFonts w:ascii="Book Antiqua" w:hAnsi="Book Antiqua"/>
          <w:b/>
          <w:sz w:val="24"/>
          <w:szCs w:val="24"/>
        </w:rPr>
        <w:t>PROYECTO DE LEY  No.</w:t>
      </w:r>
      <w:r w:rsidR="00C811AB">
        <w:rPr>
          <w:rFonts w:ascii="Book Antiqua" w:hAnsi="Book Antiqua"/>
          <w:b/>
          <w:sz w:val="24"/>
          <w:szCs w:val="24"/>
        </w:rPr>
        <w:t xml:space="preserve"> _______ </w:t>
      </w:r>
      <w:r w:rsidR="00C811AB" w:rsidRPr="00816F22">
        <w:rPr>
          <w:rFonts w:ascii="Book Antiqua" w:hAnsi="Book Antiqua"/>
          <w:b/>
          <w:sz w:val="24"/>
          <w:szCs w:val="24"/>
        </w:rPr>
        <w:t xml:space="preserve">DE </w:t>
      </w:r>
      <w:r w:rsidRPr="00816F22">
        <w:rPr>
          <w:rFonts w:ascii="Book Antiqua" w:hAnsi="Book Antiqua"/>
          <w:b/>
          <w:sz w:val="24"/>
          <w:szCs w:val="24"/>
        </w:rPr>
        <w:t>2015 SENADO</w:t>
      </w:r>
    </w:p>
    <w:p w:rsidR="008C76CA" w:rsidRDefault="008C76CA" w:rsidP="00816F22">
      <w:pPr>
        <w:spacing w:after="0" w:line="240" w:lineRule="auto"/>
        <w:jc w:val="center"/>
        <w:rPr>
          <w:rFonts w:ascii="Book Antiqua" w:hAnsi="Book Antiqua"/>
          <w:b/>
          <w:sz w:val="24"/>
          <w:szCs w:val="24"/>
        </w:rPr>
      </w:pPr>
    </w:p>
    <w:p w:rsidR="00E974E8" w:rsidRPr="00816F22" w:rsidRDefault="00E974E8" w:rsidP="00816F22">
      <w:pPr>
        <w:spacing w:after="0" w:line="240" w:lineRule="auto"/>
        <w:jc w:val="center"/>
        <w:rPr>
          <w:rFonts w:ascii="Book Antiqua" w:hAnsi="Book Antiqua"/>
          <w:b/>
          <w:sz w:val="24"/>
          <w:szCs w:val="24"/>
        </w:rPr>
      </w:pPr>
    </w:p>
    <w:p w:rsidR="00816F22" w:rsidRPr="00816F22" w:rsidRDefault="00B005AF" w:rsidP="00816F22">
      <w:pPr>
        <w:spacing w:after="0" w:line="240" w:lineRule="auto"/>
        <w:jc w:val="center"/>
        <w:rPr>
          <w:rFonts w:ascii="Book Antiqua" w:hAnsi="Book Antiqua"/>
          <w:b/>
          <w:sz w:val="24"/>
          <w:szCs w:val="24"/>
        </w:rPr>
      </w:pPr>
      <w:r w:rsidRPr="00816F22">
        <w:rPr>
          <w:rFonts w:ascii="Book Antiqua" w:hAnsi="Book Antiqua"/>
          <w:b/>
          <w:sz w:val="24"/>
          <w:szCs w:val="24"/>
        </w:rPr>
        <w:t>“POR MEDIO DE</w:t>
      </w:r>
      <w:r>
        <w:rPr>
          <w:rFonts w:ascii="Book Antiqua" w:hAnsi="Book Antiqua"/>
          <w:b/>
          <w:sz w:val="24"/>
          <w:szCs w:val="24"/>
        </w:rPr>
        <w:t xml:space="preserve"> LA </w:t>
      </w:r>
      <w:r w:rsidRPr="00816F22">
        <w:rPr>
          <w:rFonts w:ascii="Book Antiqua" w:hAnsi="Book Antiqua"/>
          <w:b/>
          <w:sz w:val="24"/>
          <w:szCs w:val="24"/>
        </w:rPr>
        <w:t>CUAL SE APLAZA LA ENTRADA EN VIGENCIA DEL</w:t>
      </w:r>
      <w:r>
        <w:rPr>
          <w:rFonts w:ascii="Book Antiqua" w:hAnsi="Book Antiqua"/>
          <w:b/>
          <w:sz w:val="24"/>
          <w:szCs w:val="24"/>
        </w:rPr>
        <w:t xml:space="preserve"> </w:t>
      </w:r>
      <w:r w:rsidRPr="00816F22">
        <w:rPr>
          <w:rFonts w:ascii="Book Antiqua" w:hAnsi="Book Antiqua"/>
          <w:b/>
          <w:sz w:val="24"/>
          <w:szCs w:val="24"/>
        </w:rPr>
        <w:t>SISTEMA PROCESAL DE ORALIDAD  PREVISTO EN LA LEY 1395 DE 2010 Y</w:t>
      </w:r>
      <w:r>
        <w:rPr>
          <w:rFonts w:ascii="Book Antiqua" w:hAnsi="Book Antiqua"/>
          <w:b/>
          <w:sz w:val="24"/>
          <w:szCs w:val="24"/>
        </w:rPr>
        <w:t xml:space="preserve"> LEY</w:t>
      </w:r>
      <w:r w:rsidRPr="00816F22">
        <w:rPr>
          <w:rFonts w:ascii="Book Antiqua" w:hAnsi="Book Antiqua"/>
          <w:b/>
          <w:sz w:val="24"/>
          <w:szCs w:val="24"/>
        </w:rPr>
        <w:t xml:space="preserve"> 1564 DE 2012”.</w:t>
      </w:r>
    </w:p>
    <w:p w:rsidR="00816F22" w:rsidRPr="00816F22" w:rsidRDefault="00816F22" w:rsidP="00816F22">
      <w:pPr>
        <w:spacing w:after="0" w:line="240" w:lineRule="auto"/>
        <w:jc w:val="center"/>
        <w:rPr>
          <w:rFonts w:ascii="Book Antiqua" w:hAnsi="Book Antiqua"/>
          <w:b/>
          <w:sz w:val="24"/>
          <w:szCs w:val="24"/>
        </w:rPr>
      </w:pPr>
    </w:p>
    <w:p w:rsidR="00816F22" w:rsidRPr="00816F22" w:rsidRDefault="00816F22" w:rsidP="00816F22">
      <w:pPr>
        <w:spacing w:after="0" w:line="240" w:lineRule="auto"/>
        <w:jc w:val="center"/>
        <w:rPr>
          <w:rFonts w:ascii="Book Antiqua" w:hAnsi="Book Antiqua"/>
          <w:b/>
          <w:sz w:val="24"/>
          <w:szCs w:val="24"/>
        </w:rPr>
      </w:pPr>
    </w:p>
    <w:p w:rsidR="00816F22" w:rsidRPr="00816F22" w:rsidRDefault="00816F22" w:rsidP="00816F22">
      <w:pPr>
        <w:spacing w:after="0" w:line="240" w:lineRule="auto"/>
        <w:jc w:val="center"/>
        <w:rPr>
          <w:rFonts w:ascii="Book Antiqua" w:hAnsi="Book Antiqua"/>
          <w:sz w:val="24"/>
          <w:szCs w:val="24"/>
        </w:rPr>
      </w:pPr>
    </w:p>
    <w:p w:rsidR="00816F22" w:rsidRPr="00816F22" w:rsidRDefault="008C76CA" w:rsidP="00816F22">
      <w:pPr>
        <w:spacing w:after="0" w:line="240" w:lineRule="auto"/>
        <w:jc w:val="center"/>
        <w:rPr>
          <w:rFonts w:ascii="Book Antiqua" w:hAnsi="Book Antiqua"/>
          <w:b/>
          <w:sz w:val="24"/>
          <w:szCs w:val="24"/>
        </w:rPr>
      </w:pPr>
      <w:r>
        <w:rPr>
          <w:rFonts w:ascii="Book Antiqua" w:hAnsi="Book Antiqua"/>
          <w:b/>
          <w:sz w:val="24"/>
          <w:szCs w:val="24"/>
        </w:rPr>
        <w:t xml:space="preserve">El Congreso </w:t>
      </w:r>
      <w:r w:rsidRPr="00816F22">
        <w:rPr>
          <w:rFonts w:ascii="Book Antiqua" w:hAnsi="Book Antiqua"/>
          <w:b/>
          <w:sz w:val="24"/>
          <w:szCs w:val="24"/>
        </w:rPr>
        <w:t>de Colombia</w:t>
      </w:r>
    </w:p>
    <w:p w:rsidR="00816F22" w:rsidRPr="00816F22" w:rsidRDefault="00816F22" w:rsidP="00816F22">
      <w:pPr>
        <w:spacing w:after="0" w:line="240" w:lineRule="auto"/>
        <w:jc w:val="center"/>
        <w:rPr>
          <w:rFonts w:ascii="Book Antiqua" w:hAnsi="Book Antiqua"/>
          <w:b/>
          <w:sz w:val="24"/>
          <w:szCs w:val="24"/>
        </w:rPr>
      </w:pPr>
    </w:p>
    <w:p w:rsidR="00816F22" w:rsidRPr="00816F22" w:rsidRDefault="00816F22" w:rsidP="00816F22">
      <w:pPr>
        <w:spacing w:after="0" w:line="240" w:lineRule="auto"/>
        <w:jc w:val="center"/>
        <w:rPr>
          <w:rFonts w:ascii="Book Antiqua" w:hAnsi="Book Antiqua"/>
          <w:b/>
          <w:sz w:val="24"/>
          <w:szCs w:val="24"/>
        </w:rPr>
      </w:pPr>
    </w:p>
    <w:p w:rsidR="00816F22" w:rsidRPr="00816F22" w:rsidRDefault="00816F22" w:rsidP="00816F22">
      <w:pPr>
        <w:spacing w:after="0" w:line="240" w:lineRule="auto"/>
        <w:jc w:val="center"/>
        <w:rPr>
          <w:rFonts w:ascii="Book Antiqua" w:hAnsi="Book Antiqua"/>
          <w:b/>
          <w:sz w:val="24"/>
          <w:szCs w:val="24"/>
        </w:rPr>
      </w:pPr>
      <w:r w:rsidRPr="00816F22">
        <w:rPr>
          <w:rFonts w:ascii="Book Antiqua" w:hAnsi="Book Antiqua"/>
          <w:b/>
          <w:sz w:val="24"/>
          <w:szCs w:val="24"/>
        </w:rPr>
        <w:t>DECRETA:</w:t>
      </w:r>
    </w:p>
    <w:p w:rsidR="00816F22" w:rsidRPr="00816F22" w:rsidRDefault="00816F22" w:rsidP="00816F22">
      <w:pPr>
        <w:spacing w:after="0" w:line="240" w:lineRule="auto"/>
        <w:jc w:val="center"/>
        <w:rPr>
          <w:rFonts w:ascii="Book Antiqua" w:hAnsi="Book Antiqua"/>
          <w:sz w:val="24"/>
          <w:szCs w:val="24"/>
        </w:rPr>
      </w:pPr>
    </w:p>
    <w:p w:rsidR="00816F22" w:rsidRPr="00816F22" w:rsidRDefault="00816F22" w:rsidP="00816F22">
      <w:pPr>
        <w:spacing w:after="0" w:line="276" w:lineRule="auto"/>
        <w:jc w:val="both"/>
        <w:rPr>
          <w:rFonts w:ascii="Book Antiqua" w:hAnsi="Book Antiqua"/>
          <w:sz w:val="24"/>
          <w:szCs w:val="24"/>
        </w:rPr>
      </w:pPr>
      <w:r w:rsidRPr="00816F22">
        <w:rPr>
          <w:rFonts w:ascii="Book Antiqua" w:hAnsi="Book Antiqua"/>
          <w:b/>
          <w:sz w:val="24"/>
          <w:szCs w:val="24"/>
        </w:rPr>
        <w:t>Artículo 1°.</w:t>
      </w:r>
      <w:r w:rsidRPr="00816F22">
        <w:rPr>
          <w:rFonts w:ascii="Book Antiqua" w:hAnsi="Book Antiqua"/>
          <w:sz w:val="24"/>
          <w:szCs w:val="24"/>
        </w:rPr>
        <w:t xml:space="preserve"> </w:t>
      </w:r>
      <w:r w:rsidR="004A1632" w:rsidRPr="00816F22">
        <w:rPr>
          <w:rFonts w:ascii="Book Antiqua" w:hAnsi="Book Antiqua"/>
          <w:sz w:val="24"/>
          <w:szCs w:val="24"/>
        </w:rPr>
        <w:t>Prorr</w:t>
      </w:r>
      <w:r w:rsidR="004A1632">
        <w:rPr>
          <w:rFonts w:ascii="Book Antiqua" w:hAnsi="Book Antiqua"/>
          <w:sz w:val="24"/>
          <w:szCs w:val="24"/>
        </w:rPr>
        <w:t>óguense</w:t>
      </w:r>
      <w:r w:rsidRPr="00816F22">
        <w:rPr>
          <w:rFonts w:ascii="Book Antiqua" w:hAnsi="Book Antiqua"/>
          <w:sz w:val="24"/>
          <w:szCs w:val="24"/>
        </w:rPr>
        <w:t xml:space="preserve"> los procesos de implementación del Sistema de Oralidad de la Ley 1395 de 2010 hasta el 31 de diciembre de 2018, y </w:t>
      </w:r>
      <w:r w:rsidR="006457CF">
        <w:rPr>
          <w:rFonts w:ascii="Book Antiqua" w:hAnsi="Book Antiqua"/>
          <w:sz w:val="24"/>
          <w:szCs w:val="24"/>
        </w:rPr>
        <w:t xml:space="preserve">de la Ley 1564 de 2012, </w:t>
      </w:r>
      <w:r w:rsidRPr="00816F22">
        <w:rPr>
          <w:rFonts w:ascii="Book Antiqua" w:hAnsi="Book Antiqua"/>
          <w:sz w:val="24"/>
          <w:szCs w:val="24"/>
        </w:rPr>
        <w:t>Código General del Proceso</w:t>
      </w:r>
      <w:r w:rsidR="004A1632">
        <w:rPr>
          <w:rFonts w:ascii="Book Antiqua" w:hAnsi="Book Antiqua"/>
          <w:sz w:val="24"/>
          <w:szCs w:val="24"/>
        </w:rPr>
        <w:t>, fecha cuando entrará en vigencia íntegramente el Código General del Proceso, una vez cumplidas las exigencias materiales del artículo 627 del Código General del Proceso.</w:t>
      </w:r>
    </w:p>
    <w:p w:rsidR="00816F22" w:rsidRPr="00816F22" w:rsidRDefault="00816F22" w:rsidP="00816F22">
      <w:pPr>
        <w:spacing w:after="0" w:line="276" w:lineRule="auto"/>
        <w:jc w:val="both"/>
        <w:rPr>
          <w:rFonts w:ascii="Book Antiqua" w:hAnsi="Book Antiqua"/>
          <w:sz w:val="24"/>
          <w:szCs w:val="24"/>
        </w:rPr>
      </w:pPr>
    </w:p>
    <w:p w:rsidR="00816F22" w:rsidRPr="00816F22" w:rsidRDefault="00816F22" w:rsidP="00816F22">
      <w:pPr>
        <w:spacing w:after="0" w:line="276" w:lineRule="auto"/>
        <w:jc w:val="both"/>
        <w:rPr>
          <w:rFonts w:ascii="Book Antiqua" w:hAnsi="Book Antiqua"/>
          <w:sz w:val="24"/>
          <w:szCs w:val="24"/>
        </w:rPr>
      </w:pPr>
      <w:r w:rsidRPr="00816F22">
        <w:rPr>
          <w:rFonts w:ascii="Book Antiqua" w:hAnsi="Book Antiqua"/>
          <w:sz w:val="24"/>
          <w:szCs w:val="24"/>
        </w:rPr>
        <w:t>En los términos anteriores quedan modificados el parágrafo del artículo 44 de la Ley 1395 de 2010, reformada por el artículo primero  de  la Ley 1716 de 2014, y el numeral sexto del artículo 6</w:t>
      </w:r>
      <w:r w:rsidR="004A1632">
        <w:rPr>
          <w:rFonts w:ascii="Book Antiqua" w:hAnsi="Book Antiqua"/>
          <w:sz w:val="24"/>
          <w:szCs w:val="24"/>
        </w:rPr>
        <w:t>27</w:t>
      </w:r>
      <w:r w:rsidRPr="00816F22">
        <w:rPr>
          <w:rFonts w:ascii="Book Antiqua" w:hAnsi="Book Antiqua"/>
          <w:sz w:val="24"/>
          <w:szCs w:val="24"/>
        </w:rPr>
        <w:t xml:space="preserve"> del Código General del Proceso.</w:t>
      </w:r>
    </w:p>
    <w:p w:rsidR="00816F22" w:rsidRPr="00816F22" w:rsidRDefault="00816F22" w:rsidP="00816F22">
      <w:pPr>
        <w:spacing w:after="0" w:line="276" w:lineRule="auto"/>
        <w:jc w:val="both"/>
        <w:rPr>
          <w:rFonts w:ascii="Book Antiqua" w:hAnsi="Book Antiqua"/>
          <w:sz w:val="24"/>
          <w:szCs w:val="24"/>
        </w:rPr>
      </w:pPr>
    </w:p>
    <w:p w:rsidR="00816F22" w:rsidRPr="00816F22" w:rsidRDefault="00816F22" w:rsidP="00816F22">
      <w:pPr>
        <w:spacing w:after="0" w:line="276" w:lineRule="auto"/>
        <w:jc w:val="both"/>
        <w:rPr>
          <w:rFonts w:ascii="Book Antiqua" w:hAnsi="Book Antiqua"/>
          <w:sz w:val="24"/>
          <w:szCs w:val="24"/>
        </w:rPr>
      </w:pPr>
      <w:r w:rsidRPr="00816F22">
        <w:rPr>
          <w:rFonts w:ascii="Book Antiqua" w:hAnsi="Book Antiqua"/>
          <w:b/>
          <w:sz w:val="24"/>
          <w:szCs w:val="24"/>
        </w:rPr>
        <w:t>Artículo 2°.</w:t>
      </w:r>
      <w:r w:rsidRPr="00816F22">
        <w:rPr>
          <w:rFonts w:ascii="Book Antiqua" w:hAnsi="Book Antiqua"/>
          <w:sz w:val="24"/>
          <w:szCs w:val="24"/>
        </w:rPr>
        <w:t xml:space="preserve"> La presente ley rige a partir de la fecha de su promulgación y deroga las normas que le sean contrarias. </w:t>
      </w:r>
    </w:p>
    <w:p w:rsidR="00816F22" w:rsidRPr="00816F22" w:rsidRDefault="00816F22" w:rsidP="00816F22">
      <w:pPr>
        <w:pStyle w:val="NormalWeb"/>
        <w:spacing w:before="0" w:beforeAutospacing="0" w:after="0" w:afterAutospacing="0" w:line="276" w:lineRule="auto"/>
        <w:jc w:val="both"/>
        <w:rPr>
          <w:rFonts w:ascii="Book Antiqua" w:eastAsiaTheme="minorHAnsi" w:hAnsi="Book Antiqua" w:cstheme="minorBidi"/>
          <w:lang w:val="es-ES" w:eastAsia="en-US"/>
        </w:rPr>
      </w:pPr>
    </w:p>
    <w:p w:rsidR="00816F22" w:rsidRPr="00816F22" w:rsidRDefault="00EB7A1D" w:rsidP="00816F22">
      <w:pPr>
        <w:pStyle w:val="NormalWeb"/>
        <w:spacing w:before="0" w:beforeAutospacing="0" w:after="0" w:afterAutospacing="0"/>
        <w:jc w:val="both"/>
        <w:rPr>
          <w:rFonts w:ascii="Book Antiqua" w:eastAsiaTheme="minorHAnsi" w:hAnsi="Book Antiqua" w:cstheme="minorBidi"/>
          <w:lang w:val="es-ES" w:eastAsia="en-US"/>
        </w:rPr>
      </w:pPr>
      <w:r>
        <w:rPr>
          <w:rFonts w:ascii="Book Antiqua" w:eastAsiaTheme="minorHAnsi" w:hAnsi="Book Antiqua" w:cstheme="minorBidi"/>
          <w:lang w:val="es-ES" w:eastAsia="en-US"/>
        </w:rPr>
        <w:t>Presentado por:</w:t>
      </w:r>
    </w:p>
    <w:p w:rsidR="00816F22" w:rsidRPr="00816F22" w:rsidRDefault="00816F22" w:rsidP="00816F22">
      <w:pPr>
        <w:pStyle w:val="NormalWeb"/>
        <w:spacing w:before="0" w:beforeAutospacing="0" w:after="0" w:afterAutospacing="0"/>
        <w:jc w:val="both"/>
        <w:rPr>
          <w:rFonts w:ascii="Book Antiqua" w:eastAsiaTheme="minorHAnsi" w:hAnsi="Book Antiqua" w:cstheme="minorBidi"/>
          <w:lang w:val="es-ES" w:eastAsia="en-US"/>
        </w:rPr>
      </w:pPr>
    </w:p>
    <w:p w:rsidR="00816F22" w:rsidRDefault="00816F22" w:rsidP="00816F22">
      <w:pPr>
        <w:pStyle w:val="NormalWeb"/>
        <w:spacing w:before="0" w:beforeAutospacing="0" w:after="0" w:afterAutospacing="0"/>
        <w:jc w:val="both"/>
        <w:rPr>
          <w:rFonts w:ascii="Book Antiqua" w:eastAsiaTheme="minorHAnsi" w:hAnsi="Book Antiqua" w:cstheme="minorBidi"/>
          <w:lang w:val="es-ES" w:eastAsia="en-US"/>
        </w:rPr>
      </w:pPr>
    </w:p>
    <w:p w:rsidR="00C811AB" w:rsidRDefault="00C811AB" w:rsidP="00816F22">
      <w:pPr>
        <w:pStyle w:val="NormalWeb"/>
        <w:spacing w:before="0" w:beforeAutospacing="0" w:after="0" w:afterAutospacing="0"/>
        <w:jc w:val="both"/>
        <w:rPr>
          <w:rFonts w:ascii="Book Antiqua" w:eastAsiaTheme="minorHAnsi" w:hAnsi="Book Antiqua" w:cstheme="minorBidi"/>
          <w:lang w:val="es-ES" w:eastAsia="en-US"/>
        </w:rPr>
      </w:pPr>
    </w:p>
    <w:p w:rsidR="00EB7A1D" w:rsidRPr="00816F22" w:rsidRDefault="00EB7A1D" w:rsidP="00816F22">
      <w:pPr>
        <w:pStyle w:val="NormalWeb"/>
        <w:spacing w:before="0" w:beforeAutospacing="0" w:after="0" w:afterAutospacing="0"/>
        <w:jc w:val="both"/>
        <w:rPr>
          <w:rFonts w:ascii="Book Antiqua" w:eastAsiaTheme="minorHAnsi" w:hAnsi="Book Antiqua" w:cstheme="minorBidi"/>
          <w:lang w:val="es-ES" w:eastAsia="en-US"/>
        </w:rPr>
      </w:pPr>
    </w:p>
    <w:p w:rsidR="00C811AB" w:rsidRPr="00816F22" w:rsidRDefault="00C811AB" w:rsidP="00C811AB">
      <w:pPr>
        <w:pStyle w:val="NormalWeb"/>
        <w:spacing w:before="0" w:beforeAutospacing="0" w:after="0" w:afterAutospacing="0"/>
        <w:jc w:val="center"/>
        <w:rPr>
          <w:rFonts w:ascii="Book Antiqua" w:eastAsiaTheme="minorHAnsi" w:hAnsi="Book Antiqua" w:cstheme="minorBidi"/>
          <w:b/>
          <w:lang w:val="es-ES" w:eastAsia="en-US"/>
        </w:rPr>
      </w:pPr>
    </w:p>
    <w:p w:rsidR="00C811AB" w:rsidRPr="00DD399C" w:rsidRDefault="00C811AB" w:rsidP="00C811AB">
      <w:pPr>
        <w:pStyle w:val="Sinespaciado"/>
        <w:rPr>
          <w:rFonts w:ascii="Book Antiqua" w:hAnsi="Book Antiqua"/>
          <w:b/>
          <w:sz w:val="24"/>
          <w:szCs w:val="24"/>
        </w:rPr>
      </w:pPr>
      <w:r w:rsidRPr="00DD399C">
        <w:rPr>
          <w:rFonts w:ascii="Book Antiqua" w:hAnsi="Book Antiqua"/>
          <w:b/>
          <w:sz w:val="24"/>
          <w:szCs w:val="24"/>
        </w:rPr>
        <w:t>MANUEL ENRÍQUEZ ROSERO                      EDUARDO ENRÍQUEZ MAYA</w:t>
      </w:r>
    </w:p>
    <w:p w:rsidR="00C811AB" w:rsidRDefault="00C811AB" w:rsidP="00C811AB">
      <w:pPr>
        <w:pStyle w:val="Sinespaciado"/>
        <w:rPr>
          <w:rFonts w:ascii="Book Antiqua" w:hAnsi="Book Antiqua"/>
          <w:b/>
          <w:sz w:val="24"/>
          <w:szCs w:val="24"/>
        </w:rPr>
      </w:pPr>
      <w:r>
        <w:rPr>
          <w:rFonts w:ascii="Book Antiqua" w:hAnsi="Book Antiqua"/>
          <w:b/>
          <w:sz w:val="24"/>
          <w:szCs w:val="24"/>
        </w:rPr>
        <w:t xml:space="preserve">     </w:t>
      </w:r>
      <w:r w:rsidRPr="004A1632">
        <w:rPr>
          <w:rFonts w:ascii="Book Antiqua" w:hAnsi="Book Antiqua"/>
          <w:b/>
          <w:sz w:val="24"/>
          <w:szCs w:val="24"/>
        </w:rPr>
        <w:t xml:space="preserve">Senador de la República      </w:t>
      </w:r>
      <w:r>
        <w:rPr>
          <w:rFonts w:ascii="Book Antiqua" w:hAnsi="Book Antiqua"/>
          <w:b/>
          <w:sz w:val="24"/>
          <w:szCs w:val="24"/>
        </w:rPr>
        <w:t xml:space="preserve">                                </w:t>
      </w:r>
      <w:r w:rsidRPr="004A1632">
        <w:rPr>
          <w:rFonts w:ascii="Book Antiqua" w:hAnsi="Book Antiqua"/>
          <w:b/>
          <w:sz w:val="24"/>
          <w:szCs w:val="24"/>
        </w:rPr>
        <w:t>Senador de la República</w:t>
      </w:r>
    </w:p>
    <w:p w:rsidR="00C811AB" w:rsidRPr="004A1632" w:rsidRDefault="00C811AB" w:rsidP="00C811AB">
      <w:pPr>
        <w:pStyle w:val="Sinespaciado"/>
        <w:rPr>
          <w:rFonts w:ascii="Book Antiqua" w:hAnsi="Book Antiqua"/>
          <w:b/>
          <w:sz w:val="24"/>
          <w:szCs w:val="24"/>
        </w:rPr>
      </w:pPr>
      <w:r>
        <w:rPr>
          <w:rFonts w:ascii="Book Antiqua" w:hAnsi="Book Antiqua"/>
          <w:b/>
          <w:sz w:val="24"/>
          <w:szCs w:val="24"/>
        </w:rPr>
        <w:t xml:space="preserve">    Presidente </w:t>
      </w:r>
      <w:r w:rsidRPr="004A1632">
        <w:rPr>
          <w:rFonts w:ascii="Book Antiqua" w:hAnsi="Book Antiqua"/>
          <w:b/>
          <w:sz w:val="24"/>
          <w:szCs w:val="24"/>
        </w:rPr>
        <w:t xml:space="preserve">Comisión Primera </w:t>
      </w:r>
    </w:p>
    <w:p w:rsidR="00C811AB" w:rsidRPr="004A1632" w:rsidRDefault="00C811AB" w:rsidP="00C811AB">
      <w:pPr>
        <w:pStyle w:val="Sinespaciado"/>
        <w:ind w:left="708"/>
        <w:rPr>
          <w:rFonts w:ascii="Book Antiqua" w:hAnsi="Book Antiqua"/>
          <w:b/>
          <w:sz w:val="24"/>
          <w:szCs w:val="24"/>
        </w:rPr>
      </w:pPr>
      <w:r w:rsidRPr="004A1632">
        <w:rPr>
          <w:rFonts w:ascii="Book Antiqua" w:hAnsi="Book Antiqua"/>
          <w:b/>
          <w:sz w:val="24"/>
          <w:szCs w:val="24"/>
        </w:rPr>
        <w:tab/>
      </w:r>
    </w:p>
    <w:p w:rsidR="004A1632" w:rsidRPr="004A1632" w:rsidRDefault="004A1632" w:rsidP="004A1632">
      <w:pPr>
        <w:pStyle w:val="Sinespaciado"/>
        <w:rPr>
          <w:rFonts w:ascii="Book Antiqua" w:hAnsi="Book Antiqua"/>
          <w:b/>
          <w:sz w:val="24"/>
          <w:szCs w:val="24"/>
        </w:rPr>
      </w:pPr>
    </w:p>
    <w:p w:rsidR="004A1632" w:rsidRPr="004A1632" w:rsidRDefault="004A1632" w:rsidP="004A1632">
      <w:pPr>
        <w:pStyle w:val="NormalWeb"/>
        <w:rPr>
          <w:rFonts w:ascii="Book Antiqua" w:eastAsiaTheme="minorHAnsi" w:hAnsi="Book Antiqua"/>
          <w:b/>
          <w:lang w:val="es-ES"/>
        </w:rPr>
      </w:pPr>
    </w:p>
    <w:p w:rsidR="004A1632" w:rsidRPr="004A1632" w:rsidRDefault="004A1632" w:rsidP="004A1632">
      <w:pPr>
        <w:pStyle w:val="NormalWeb"/>
        <w:rPr>
          <w:rFonts w:ascii="Book Antiqua" w:eastAsiaTheme="minorHAnsi" w:hAnsi="Book Antiqua"/>
          <w:b/>
          <w:lang w:val="es-ES"/>
        </w:rPr>
      </w:pPr>
    </w:p>
    <w:p w:rsidR="004A1632" w:rsidRPr="004A1632" w:rsidRDefault="004A1632" w:rsidP="004A1632">
      <w:pPr>
        <w:pStyle w:val="NormalWeb"/>
        <w:rPr>
          <w:rFonts w:ascii="Book Antiqua" w:eastAsiaTheme="minorHAnsi" w:hAnsi="Book Antiqua"/>
          <w:b/>
        </w:rPr>
      </w:pPr>
      <w:r>
        <w:rPr>
          <w:rFonts w:ascii="Book Antiqua" w:eastAsiaTheme="minorHAnsi" w:hAnsi="Book Antiqua"/>
          <w:b/>
        </w:rPr>
        <w:t xml:space="preserve">                                                                    </w:t>
      </w:r>
      <w:bookmarkStart w:id="0" w:name="_GoBack"/>
      <w:bookmarkEnd w:id="0"/>
      <w:r>
        <w:rPr>
          <w:rFonts w:ascii="Book Antiqua" w:eastAsiaTheme="minorHAnsi" w:hAnsi="Book Antiqua"/>
          <w:b/>
        </w:rPr>
        <w:t xml:space="preserve">                    </w:t>
      </w:r>
    </w:p>
    <w:p w:rsidR="00816F22" w:rsidRPr="00816F22" w:rsidRDefault="00816F22" w:rsidP="004A1632">
      <w:pPr>
        <w:pStyle w:val="NormalWeb"/>
        <w:spacing w:before="0" w:beforeAutospacing="0" w:after="0" w:afterAutospacing="0"/>
        <w:rPr>
          <w:rFonts w:ascii="Book Antiqua" w:eastAsiaTheme="minorHAnsi" w:hAnsi="Book Antiqua" w:cstheme="minorBidi"/>
          <w:b/>
          <w:lang w:val="es-ES" w:eastAsia="en-US"/>
        </w:rPr>
      </w:pPr>
    </w:p>
    <w:p w:rsidR="00816F22" w:rsidRPr="00816F22" w:rsidRDefault="00816F22" w:rsidP="00816F22">
      <w:pPr>
        <w:pStyle w:val="NormalWeb"/>
        <w:spacing w:before="0" w:beforeAutospacing="0" w:after="0" w:afterAutospacing="0"/>
        <w:jc w:val="both"/>
        <w:rPr>
          <w:rFonts w:ascii="Book Antiqua" w:eastAsiaTheme="minorHAnsi" w:hAnsi="Book Antiqua" w:cstheme="minorBidi"/>
          <w:b/>
          <w:lang w:val="es-ES" w:eastAsia="en-US"/>
        </w:rPr>
      </w:pPr>
    </w:p>
    <w:p w:rsidR="00C811AB" w:rsidRDefault="00C811AB" w:rsidP="00816F22">
      <w:pPr>
        <w:pStyle w:val="NormalWeb"/>
        <w:spacing w:before="0" w:beforeAutospacing="0" w:after="0" w:afterAutospacing="0"/>
        <w:jc w:val="center"/>
        <w:rPr>
          <w:rFonts w:ascii="Book Antiqua" w:eastAsiaTheme="minorHAnsi" w:hAnsi="Book Antiqua" w:cstheme="minorBidi"/>
          <w:b/>
          <w:lang w:val="es-ES" w:eastAsia="en-US"/>
        </w:rPr>
      </w:pPr>
    </w:p>
    <w:p w:rsidR="00816F22" w:rsidRPr="00816F22" w:rsidRDefault="00816F22" w:rsidP="00816F22">
      <w:pPr>
        <w:pStyle w:val="NormalWeb"/>
        <w:spacing w:before="0" w:beforeAutospacing="0" w:after="0" w:afterAutospacing="0"/>
        <w:jc w:val="center"/>
        <w:rPr>
          <w:rFonts w:ascii="Book Antiqua" w:eastAsiaTheme="minorHAnsi" w:hAnsi="Book Antiqua" w:cstheme="minorBidi"/>
          <w:b/>
          <w:lang w:val="es-ES" w:eastAsia="en-US"/>
        </w:rPr>
      </w:pPr>
      <w:r w:rsidRPr="00816F22">
        <w:rPr>
          <w:rFonts w:ascii="Book Antiqua" w:eastAsiaTheme="minorHAnsi" w:hAnsi="Book Antiqua" w:cstheme="minorBidi"/>
          <w:b/>
          <w:lang w:val="es-ES" w:eastAsia="en-US"/>
        </w:rPr>
        <w:t>EXPOSICI</w:t>
      </w:r>
      <w:r w:rsidR="00582E91">
        <w:rPr>
          <w:rFonts w:ascii="Book Antiqua" w:eastAsiaTheme="minorHAnsi" w:hAnsi="Book Antiqua" w:cstheme="minorBidi"/>
          <w:b/>
          <w:lang w:val="es-ES" w:eastAsia="en-US"/>
        </w:rPr>
        <w:t>ÓN</w:t>
      </w:r>
      <w:r w:rsidRPr="00816F22">
        <w:rPr>
          <w:rFonts w:ascii="Book Antiqua" w:eastAsiaTheme="minorHAnsi" w:hAnsi="Book Antiqua" w:cstheme="minorBidi"/>
          <w:b/>
          <w:lang w:val="es-ES" w:eastAsia="en-US"/>
        </w:rPr>
        <w:t xml:space="preserve"> DE</w:t>
      </w:r>
      <w:r>
        <w:rPr>
          <w:rFonts w:ascii="Book Antiqua" w:eastAsiaTheme="minorHAnsi" w:hAnsi="Book Antiqua" w:cstheme="minorBidi"/>
          <w:b/>
          <w:lang w:val="es-ES" w:eastAsia="en-US"/>
        </w:rPr>
        <w:t xml:space="preserve"> </w:t>
      </w:r>
      <w:r w:rsidRPr="00816F22">
        <w:rPr>
          <w:rFonts w:ascii="Book Antiqua" w:eastAsiaTheme="minorHAnsi" w:hAnsi="Book Antiqua" w:cstheme="minorBidi"/>
          <w:b/>
          <w:lang w:val="es-ES" w:eastAsia="en-US"/>
        </w:rPr>
        <w:t>MOTIVOS</w:t>
      </w:r>
    </w:p>
    <w:p w:rsidR="00816F22" w:rsidRPr="00816F22" w:rsidRDefault="00816F22" w:rsidP="00816F22">
      <w:pPr>
        <w:pStyle w:val="NormalWeb"/>
        <w:spacing w:before="0" w:beforeAutospacing="0" w:after="0" w:afterAutospacing="0"/>
        <w:jc w:val="center"/>
        <w:rPr>
          <w:rFonts w:ascii="Book Antiqua" w:eastAsiaTheme="minorHAnsi" w:hAnsi="Book Antiqua" w:cstheme="minorBidi"/>
          <w:lang w:val="es-ES" w:eastAsia="en-US"/>
        </w:rPr>
      </w:pPr>
    </w:p>
    <w:p w:rsidR="006457CF" w:rsidRDefault="004A1632" w:rsidP="008528F2">
      <w:pPr>
        <w:spacing w:after="0" w:line="360" w:lineRule="auto"/>
        <w:jc w:val="both"/>
        <w:rPr>
          <w:rFonts w:ascii="Book Antiqua" w:hAnsi="Book Antiqua"/>
          <w:sz w:val="24"/>
          <w:szCs w:val="24"/>
        </w:rPr>
      </w:pPr>
      <w:r>
        <w:rPr>
          <w:rFonts w:ascii="Book Antiqua" w:hAnsi="Book Antiqua"/>
          <w:sz w:val="24"/>
          <w:szCs w:val="24"/>
        </w:rPr>
        <w:t xml:space="preserve">El </w:t>
      </w:r>
      <w:r w:rsidR="006457CF">
        <w:rPr>
          <w:rFonts w:ascii="Book Antiqua" w:hAnsi="Book Antiqua"/>
          <w:sz w:val="24"/>
          <w:szCs w:val="24"/>
        </w:rPr>
        <w:t xml:space="preserve">presente </w:t>
      </w:r>
      <w:r>
        <w:rPr>
          <w:rFonts w:ascii="Book Antiqua" w:hAnsi="Book Antiqua"/>
          <w:sz w:val="24"/>
          <w:szCs w:val="24"/>
        </w:rPr>
        <w:t xml:space="preserve">proyecto de Ley </w:t>
      </w:r>
      <w:r w:rsidR="006457CF">
        <w:rPr>
          <w:rFonts w:ascii="Book Antiqua" w:hAnsi="Book Antiqua"/>
          <w:sz w:val="24"/>
          <w:szCs w:val="24"/>
        </w:rPr>
        <w:t xml:space="preserve">tiene por objeto prorrogar </w:t>
      </w:r>
      <w:r w:rsidR="006457CF" w:rsidRPr="00816F22">
        <w:rPr>
          <w:rFonts w:ascii="Book Antiqua" w:hAnsi="Book Antiqua"/>
          <w:sz w:val="24"/>
          <w:szCs w:val="24"/>
        </w:rPr>
        <w:t xml:space="preserve"> los procesos de implementación del Sistema de Oralidad de la Ley 1395 de 2010 hasta el 31 de diciembre de 2018, y </w:t>
      </w:r>
      <w:r w:rsidR="006457CF">
        <w:rPr>
          <w:rFonts w:ascii="Book Antiqua" w:hAnsi="Book Antiqua"/>
          <w:sz w:val="24"/>
          <w:szCs w:val="24"/>
        </w:rPr>
        <w:t xml:space="preserve">de la Ley 1564 de 2012, </w:t>
      </w:r>
      <w:r w:rsidR="006457CF" w:rsidRPr="00816F22">
        <w:rPr>
          <w:rFonts w:ascii="Book Antiqua" w:hAnsi="Book Antiqua"/>
          <w:sz w:val="24"/>
          <w:szCs w:val="24"/>
        </w:rPr>
        <w:t>Código General del Proceso el cual iniciará el primero (1) de enero del dos mil diecinueve (2019).</w:t>
      </w:r>
    </w:p>
    <w:p w:rsidR="006457CF" w:rsidRPr="00816F22" w:rsidRDefault="006457CF" w:rsidP="008528F2">
      <w:pPr>
        <w:spacing w:after="0" w:line="360" w:lineRule="auto"/>
        <w:jc w:val="both"/>
        <w:rPr>
          <w:rFonts w:ascii="Book Antiqua" w:hAnsi="Book Antiqua"/>
          <w:sz w:val="24"/>
          <w:szCs w:val="24"/>
        </w:rPr>
      </w:pPr>
    </w:p>
    <w:p w:rsidR="00816F22" w:rsidRDefault="00816F22" w:rsidP="00816F22">
      <w:pPr>
        <w:spacing w:line="360" w:lineRule="auto"/>
        <w:jc w:val="both"/>
        <w:rPr>
          <w:rFonts w:ascii="Book Antiqua" w:hAnsi="Book Antiqua"/>
          <w:sz w:val="24"/>
          <w:szCs w:val="24"/>
        </w:rPr>
      </w:pPr>
      <w:r w:rsidRPr="00816F22">
        <w:rPr>
          <w:rFonts w:ascii="Book Antiqua" w:hAnsi="Book Antiqua"/>
          <w:sz w:val="24"/>
          <w:szCs w:val="24"/>
        </w:rPr>
        <w:t xml:space="preserve">La implementación de la oralidad en las áreas civil y familia de la Jurisdicción Ordinaria ha tenido serios tropiezos primordialmente de orden económico por la falta de apropiación de los recursos requeridos para la indispensable creación de nuevos juzgados, las reformas estructurales, capacitación de funcionarios y ayudas tecnológica, que el propio legislador estableció eran </w:t>
      </w:r>
      <w:r w:rsidR="00582E91">
        <w:rPr>
          <w:rFonts w:ascii="Book Antiqua" w:hAnsi="Book Antiqua"/>
          <w:sz w:val="24"/>
          <w:szCs w:val="24"/>
        </w:rPr>
        <w:t>necesarias</w:t>
      </w:r>
      <w:r w:rsidRPr="00816F22">
        <w:rPr>
          <w:rFonts w:ascii="Book Antiqua" w:hAnsi="Book Antiqua"/>
          <w:sz w:val="24"/>
          <w:szCs w:val="24"/>
        </w:rPr>
        <w:t xml:space="preserve"> para el éxito del cambio del sistema procesal, y a cuyo cumplimiento condicionó la exequibilidad  de la ley 1285 de 2009</w:t>
      </w:r>
      <w:r w:rsidR="00582E91">
        <w:rPr>
          <w:rFonts w:ascii="Book Antiqua" w:hAnsi="Book Antiqua"/>
          <w:sz w:val="24"/>
          <w:szCs w:val="24"/>
        </w:rPr>
        <w:t>,</w:t>
      </w:r>
      <w:r w:rsidRPr="00816F22">
        <w:rPr>
          <w:rFonts w:ascii="Book Antiqua" w:hAnsi="Book Antiqua"/>
          <w:sz w:val="24"/>
          <w:szCs w:val="24"/>
        </w:rPr>
        <w:t xml:space="preserve"> la  H. Corte Constitucional en la sentencia C-713 de 2008.</w:t>
      </w:r>
      <w:r w:rsidR="00BB16E0">
        <w:rPr>
          <w:rFonts w:ascii="Book Antiqua" w:hAnsi="Book Antiqua"/>
          <w:sz w:val="24"/>
          <w:szCs w:val="24"/>
        </w:rPr>
        <w:t xml:space="preserve">    </w:t>
      </w:r>
    </w:p>
    <w:p w:rsidR="00816F22" w:rsidRPr="00816F22" w:rsidRDefault="00816F22" w:rsidP="00816F22">
      <w:pPr>
        <w:spacing w:line="360" w:lineRule="auto"/>
        <w:jc w:val="both"/>
        <w:rPr>
          <w:rFonts w:ascii="Book Antiqua" w:hAnsi="Book Antiqua"/>
          <w:sz w:val="24"/>
          <w:szCs w:val="24"/>
        </w:rPr>
      </w:pPr>
      <w:r w:rsidRPr="00816F22">
        <w:rPr>
          <w:rFonts w:ascii="Book Antiqua" w:hAnsi="Book Antiqua"/>
          <w:sz w:val="24"/>
          <w:szCs w:val="24"/>
        </w:rPr>
        <w:t>Los plazos que el legislador previo para realizar el proceso están próximos  a vencer y si antes del 31 de diciembre del año en curso no se modifican de la ley 1395 de 2010 y del Código General del Proceso, los tiempos previstos para su implementación e iniciar su vigencia, se corre el riesgo de culminar el ingreso a la oralidad e iniciar la vigencia de CGP en condiciones que</w:t>
      </w:r>
      <w:r w:rsidR="00582E91">
        <w:rPr>
          <w:rFonts w:ascii="Book Antiqua" w:hAnsi="Book Antiqua"/>
          <w:sz w:val="24"/>
          <w:szCs w:val="24"/>
        </w:rPr>
        <w:t xml:space="preserve">, </w:t>
      </w:r>
      <w:r w:rsidRPr="00816F22">
        <w:rPr>
          <w:rFonts w:ascii="Book Antiqua" w:hAnsi="Book Antiqua"/>
          <w:sz w:val="24"/>
          <w:szCs w:val="24"/>
        </w:rPr>
        <w:t>a más de</w:t>
      </w:r>
      <w:r w:rsidR="00582E91">
        <w:rPr>
          <w:rFonts w:ascii="Book Antiqua" w:hAnsi="Book Antiqua"/>
          <w:sz w:val="24"/>
          <w:szCs w:val="24"/>
        </w:rPr>
        <w:t xml:space="preserve"> </w:t>
      </w:r>
      <w:r w:rsidRPr="00816F22">
        <w:rPr>
          <w:rFonts w:ascii="Book Antiqua" w:hAnsi="Book Antiqua"/>
          <w:sz w:val="24"/>
          <w:szCs w:val="24"/>
        </w:rPr>
        <w:t>desconoce</w:t>
      </w:r>
      <w:r w:rsidR="00582E91">
        <w:rPr>
          <w:rFonts w:ascii="Book Antiqua" w:hAnsi="Book Antiqua"/>
          <w:sz w:val="24"/>
          <w:szCs w:val="24"/>
        </w:rPr>
        <w:t>r</w:t>
      </w:r>
      <w:r w:rsidRPr="00816F22">
        <w:rPr>
          <w:rFonts w:ascii="Book Antiqua" w:hAnsi="Book Antiqua"/>
          <w:sz w:val="24"/>
          <w:szCs w:val="24"/>
        </w:rPr>
        <w:t xml:space="preserve"> la ley</w:t>
      </w:r>
      <w:r w:rsidR="00582E91">
        <w:rPr>
          <w:rFonts w:ascii="Book Antiqua" w:hAnsi="Book Antiqua"/>
          <w:sz w:val="24"/>
          <w:szCs w:val="24"/>
        </w:rPr>
        <w:t>,</w:t>
      </w:r>
      <w:r w:rsidRPr="00816F22">
        <w:rPr>
          <w:rFonts w:ascii="Book Antiqua" w:hAnsi="Book Antiqua"/>
          <w:sz w:val="24"/>
          <w:szCs w:val="24"/>
        </w:rPr>
        <w:t xml:space="preserve"> conllevarían un colapso del trabajo ju</w:t>
      </w:r>
      <w:r w:rsidR="00582E91">
        <w:rPr>
          <w:rFonts w:ascii="Book Antiqua" w:hAnsi="Book Antiqua"/>
          <w:sz w:val="24"/>
          <w:szCs w:val="24"/>
        </w:rPr>
        <w:t>dicial</w:t>
      </w:r>
      <w:r w:rsidRPr="00816F22">
        <w:rPr>
          <w:rFonts w:ascii="Book Antiqua" w:hAnsi="Book Antiqua"/>
          <w:sz w:val="24"/>
          <w:szCs w:val="24"/>
        </w:rPr>
        <w:t xml:space="preserve"> de proporciones mayores al que se trató de superar con el cambio del sistema procesal, como ya se está observando en algunos de los distritos judiciales que han venido ingresando al sistema de la oralidad de la ley 1395 de 2010, con múltiples deficiencias y sin las ayudas necesarias.</w:t>
      </w:r>
    </w:p>
    <w:p w:rsidR="00816F22" w:rsidRPr="00816F22" w:rsidRDefault="00816F22" w:rsidP="00816F22">
      <w:pPr>
        <w:spacing w:line="360" w:lineRule="auto"/>
        <w:jc w:val="both"/>
        <w:rPr>
          <w:rFonts w:ascii="Book Antiqua" w:hAnsi="Book Antiqua"/>
          <w:sz w:val="24"/>
          <w:szCs w:val="24"/>
        </w:rPr>
      </w:pPr>
      <w:r w:rsidRPr="00816F22">
        <w:rPr>
          <w:rFonts w:ascii="Book Antiqua" w:hAnsi="Book Antiqua"/>
          <w:sz w:val="24"/>
          <w:szCs w:val="24"/>
        </w:rPr>
        <w:t xml:space="preserve">Primordialmente, el continuar la implementación de la ley 1395 de 2010 e iniciar el nuevo código, sin las condiciones logísticas que el nuevo sistema requiere, tendría una </w:t>
      </w:r>
      <w:r w:rsidR="007422A0">
        <w:rPr>
          <w:rFonts w:ascii="Book Antiqua" w:hAnsi="Book Antiqua"/>
          <w:sz w:val="24"/>
          <w:szCs w:val="24"/>
        </w:rPr>
        <w:t xml:space="preserve">grave </w:t>
      </w:r>
      <w:r w:rsidRPr="00816F22">
        <w:rPr>
          <w:rFonts w:ascii="Book Antiqua" w:hAnsi="Book Antiqua"/>
          <w:sz w:val="24"/>
          <w:szCs w:val="24"/>
        </w:rPr>
        <w:t>repercusión para el usuario de la justicia, que de no modificarse el panorama planteado se verá avocado una ausencia de respuesta oportuna a los reclamos de justicia de orden familiar y civil, por la congestión que se vendría en la realización de la audiencias de trámite y fallo, por la falta de juzgados, de salas de audiencia</w:t>
      </w:r>
      <w:r w:rsidR="007422A0">
        <w:rPr>
          <w:rFonts w:ascii="Book Antiqua" w:hAnsi="Book Antiqua"/>
          <w:sz w:val="24"/>
          <w:szCs w:val="24"/>
        </w:rPr>
        <w:t>,</w:t>
      </w:r>
      <w:r w:rsidRPr="00816F22">
        <w:rPr>
          <w:rFonts w:ascii="Book Antiqua" w:hAnsi="Book Antiqua"/>
          <w:sz w:val="24"/>
          <w:szCs w:val="24"/>
        </w:rPr>
        <w:t xml:space="preserve"> de sistemas de grabación etc. </w:t>
      </w:r>
    </w:p>
    <w:p w:rsidR="00DD10D5" w:rsidRDefault="00ED51FC" w:rsidP="00963C79">
      <w:pPr>
        <w:spacing w:line="276" w:lineRule="auto"/>
        <w:jc w:val="both"/>
        <w:rPr>
          <w:rFonts w:ascii="Book Antiqua" w:hAnsi="Book Antiqua"/>
          <w:b/>
          <w:sz w:val="24"/>
          <w:szCs w:val="24"/>
        </w:rPr>
      </w:pPr>
      <w:r>
        <w:rPr>
          <w:rFonts w:ascii="Book Antiqua" w:hAnsi="Book Antiqua"/>
          <w:b/>
          <w:sz w:val="24"/>
          <w:szCs w:val="24"/>
        </w:rPr>
        <w:lastRenderedPageBreak/>
        <w:t xml:space="preserve">1.- </w:t>
      </w:r>
      <w:r w:rsidR="00DD10D5" w:rsidRPr="00ED51FC">
        <w:rPr>
          <w:rFonts w:ascii="Book Antiqua" w:hAnsi="Book Antiqua"/>
          <w:b/>
          <w:sz w:val="24"/>
          <w:szCs w:val="24"/>
        </w:rPr>
        <w:t xml:space="preserve">ANTECEDENTES </w:t>
      </w:r>
    </w:p>
    <w:p w:rsidR="00963C79" w:rsidRDefault="00963C79" w:rsidP="00963C79">
      <w:pPr>
        <w:spacing w:line="276" w:lineRule="auto"/>
        <w:jc w:val="both"/>
        <w:rPr>
          <w:rFonts w:ascii="Book Antiqua" w:hAnsi="Book Antiqua"/>
          <w:sz w:val="24"/>
          <w:szCs w:val="24"/>
        </w:rPr>
      </w:pPr>
    </w:p>
    <w:p w:rsidR="00C94603" w:rsidRPr="00DD10D5" w:rsidRDefault="00C94603" w:rsidP="00ED51FC">
      <w:pPr>
        <w:spacing w:line="360" w:lineRule="auto"/>
        <w:jc w:val="both"/>
        <w:rPr>
          <w:rFonts w:ascii="Book Antiqua" w:hAnsi="Book Antiqua"/>
          <w:sz w:val="24"/>
          <w:szCs w:val="24"/>
        </w:rPr>
      </w:pPr>
      <w:r w:rsidRPr="00DD10D5">
        <w:rPr>
          <w:rFonts w:ascii="Book Antiqua" w:hAnsi="Book Antiqua"/>
          <w:sz w:val="24"/>
          <w:szCs w:val="24"/>
        </w:rPr>
        <w:t>La implementación de la oralidad en nuestro sistema procesal, en todos los ámbitos de la jurisdicción ordinaria y todas las jurisdicciones se volvió un propósito o política pública de</w:t>
      </w:r>
      <w:r w:rsidR="00B3083B">
        <w:rPr>
          <w:rFonts w:ascii="Book Antiqua" w:hAnsi="Book Antiqua"/>
          <w:sz w:val="24"/>
          <w:szCs w:val="24"/>
        </w:rPr>
        <w:t xml:space="preserve"> la Rama Judicial </w:t>
      </w:r>
      <w:r w:rsidRPr="00DD10D5">
        <w:rPr>
          <w:rFonts w:ascii="Book Antiqua" w:hAnsi="Book Antiqua"/>
          <w:sz w:val="24"/>
          <w:szCs w:val="24"/>
        </w:rPr>
        <w:t xml:space="preserve"> avalada por el legislativo.</w:t>
      </w:r>
    </w:p>
    <w:p w:rsidR="00C94603" w:rsidRPr="00E141EC" w:rsidRDefault="00E30052" w:rsidP="00C94603">
      <w:pPr>
        <w:spacing w:line="360" w:lineRule="auto"/>
        <w:jc w:val="both"/>
        <w:rPr>
          <w:rFonts w:ascii="Book Antiqua" w:hAnsi="Book Antiqua"/>
          <w:sz w:val="24"/>
          <w:szCs w:val="24"/>
        </w:rPr>
      </w:pPr>
      <w:r>
        <w:rPr>
          <w:rFonts w:ascii="Book Antiqua" w:hAnsi="Book Antiqua"/>
          <w:sz w:val="24"/>
          <w:szCs w:val="24"/>
        </w:rPr>
        <w:t xml:space="preserve">En efecto, </w:t>
      </w:r>
      <w:r w:rsidR="00C94603" w:rsidRPr="00E141EC">
        <w:rPr>
          <w:rFonts w:ascii="Book Antiqua" w:hAnsi="Book Antiqua"/>
          <w:sz w:val="24"/>
          <w:szCs w:val="24"/>
        </w:rPr>
        <w:t xml:space="preserve">el Informe de ejecución del </w:t>
      </w:r>
      <w:r w:rsidR="00984869">
        <w:rPr>
          <w:rFonts w:ascii="Book Antiqua" w:hAnsi="Book Antiqua"/>
          <w:sz w:val="24"/>
          <w:szCs w:val="24"/>
        </w:rPr>
        <w:t>P</w:t>
      </w:r>
      <w:r w:rsidR="00C94603" w:rsidRPr="00E141EC">
        <w:rPr>
          <w:rFonts w:ascii="Book Antiqua" w:hAnsi="Book Antiqua"/>
          <w:sz w:val="24"/>
          <w:szCs w:val="24"/>
        </w:rPr>
        <w:t xml:space="preserve">lan </w:t>
      </w:r>
      <w:r w:rsidR="00984869">
        <w:rPr>
          <w:rFonts w:ascii="Book Antiqua" w:hAnsi="Book Antiqua"/>
          <w:sz w:val="24"/>
          <w:szCs w:val="24"/>
        </w:rPr>
        <w:t>S</w:t>
      </w:r>
      <w:r w:rsidR="00C94603" w:rsidRPr="00E141EC">
        <w:rPr>
          <w:rFonts w:ascii="Book Antiqua" w:hAnsi="Book Antiqua"/>
          <w:sz w:val="24"/>
          <w:szCs w:val="24"/>
        </w:rPr>
        <w:t xml:space="preserve">ectorial de </w:t>
      </w:r>
      <w:r w:rsidR="00984869">
        <w:rPr>
          <w:rFonts w:ascii="Book Antiqua" w:hAnsi="Book Antiqua"/>
          <w:sz w:val="24"/>
          <w:szCs w:val="24"/>
        </w:rPr>
        <w:t>D</w:t>
      </w:r>
      <w:r w:rsidR="00C94603" w:rsidRPr="00E141EC">
        <w:rPr>
          <w:rFonts w:ascii="Book Antiqua" w:hAnsi="Book Antiqua"/>
          <w:sz w:val="24"/>
          <w:szCs w:val="24"/>
        </w:rPr>
        <w:t>esarrollo 2011-2014 “Hacia una justicia eficiente, un propósito Nacional”</w:t>
      </w:r>
      <w:r>
        <w:rPr>
          <w:rFonts w:ascii="Book Antiqua" w:hAnsi="Book Antiqua"/>
          <w:sz w:val="24"/>
          <w:szCs w:val="24"/>
        </w:rPr>
        <w:t xml:space="preserve">, </w:t>
      </w:r>
      <w:r w:rsidR="005A67E5">
        <w:rPr>
          <w:rFonts w:ascii="Book Antiqua" w:hAnsi="Book Antiqua"/>
          <w:sz w:val="24"/>
          <w:szCs w:val="24"/>
        </w:rPr>
        <w:t xml:space="preserve">de abril de 2015 </w:t>
      </w:r>
      <w:r w:rsidR="005A4496" w:rsidRPr="005A4496">
        <w:rPr>
          <w:rStyle w:val="Refdenotaalpie"/>
          <w:rFonts w:ascii="Book Antiqua" w:hAnsi="Book Antiqua"/>
          <w:sz w:val="24"/>
          <w:szCs w:val="24"/>
        </w:rPr>
        <w:footnoteReference w:id="1"/>
      </w:r>
      <w:r>
        <w:rPr>
          <w:rFonts w:ascii="Book Antiqua" w:hAnsi="Book Antiqua"/>
          <w:sz w:val="24"/>
          <w:szCs w:val="24"/>
        </w:rPr>
        <w:t>dice</w:t>
      </w:r>
      <w:r w:rsidR="00C94603" w:rsidRPr="00E141EC">
        <w:rPr>
          <w:rFonts w:ascii="Book Antiqua" w:hAnsi="Book Antiqua"/>
          <w:sz w:val="24"/>
          <w:szCs w:val="24"/>
        </w:rPr>
        <w:t>:</w:t>
      </w:r>
    </w:p>
    <w:p w:rsidR="00C94603" w:rsidRPr="00E141EC" w:rsidRDefault="00C94603" w:rsidP="00C94603">
      <w:pPr>
        <w:spacing w:line="360" w:lineRule="auto"/>
        <w:jc w:val="both"/>
        <w:rPr>
          <w:rFonts w:ascii="Book Antiqua" w:hAnsi="Book Antiqua"/>
          <w:i/>
          <w:sz w:val="24"/>
          <w:szCs w:val="24"/>
        </w:rPr>
      </w:pPr>
      <w:r w:rsidRPr="00E141EC">
        <w:rPr>
          <w:rFonts w:ascii="Book Antiqua" w:hAnsi="Book Antiqua"/>
          <w:i/>
          <w:sz w:val="24"/>
          <w:szCs w:val="24"/>
        </w:rPr>
        <w:t xml:space="preserve">“2.1.1. Política: Llevar a cabo los mandatos legales de la oralidad. El legislador a través de diversas Leyes (906 de 2004 Sistema Penal Acusatorio, 1123 de 2007 Jurisdicción Disciplinaria, 1149 de 2007 especialidad Laboral, 1285 de 2009 que modificó la Ley Estatutaria de Administración de Justicia y dispuso la implementación del procedimiento oral en todas las jurisdicciones como principio de la administración de justicia, y las leyes 1395 de 2010 y 1437 de 2011 que propenden por la implementación de la Oralidad en las especialidades Civil y de Familia), estableció un gran cambio en la manera de realizarse las actuaciones dentro de los trámites procesales. La congestión judicial, la mora, la impunidad y los trámites interminables en las diferentes procesos judiciales son algunas de la deficiencias detectadas, que han generado en la sociedad Colombiana insatisfacción, falta de credibilidad en la justicia y en su estructura judicial, lo que pretende ser intervenido con la implementación de la Oralidad en el trámite procesal, como el Modelo de Gestión de todas las jurisdicciones de la Rama Judicial. Con la oralidad se pretende obtener resultados favorables en términos de reducción de tiempos procesales, con su correspondiente incremento en la tasa de producción promedio por despacho y reducción de inventarios; mayor visibilidad de las actuaciones procesales al interior de los despachos judiciales y modernización de la justicia en términos de infraestructura, tecnología y modelos de gestión; entre otros. Uno de los grandes retos planteados en el Plan Sectorial de Desarrollo de la Rama Judicial para el cuatrienio 2011-2014 fue: “(ii) implementar la Oralidad en todas las especialidades y jurisdicciones, ….”, donde se plantearon las siguientes metas estratégicas y programáticas: consolidar la oralidad en la especialidad penal, afianzar la oralidad en la Laboral, implementarla en las especialidades civil y de familia, avanzar en la oralidad </w:t>
      </w:r>
      <w:r w:rsidRPr="00E141EC">
        <w:rPr>
          <w:rFonts w:ascii="Book Antiqua" w:hAnsi="Book Antiqua"/>
          <w:i/>
          <w:sz w:val="24"/>
          <w:szCs w:val="24"/>
        </w:rPr>
        <w:lastRenderedPageBreak/>
        <w:t>Disciplinaria y avanzar en la implementación de la Oralidad en las Jurisdicciones Contenciosa, Disciplinaria y Constitucional, de acuerdo con los mandatos legales, hasta llegar a todas las jurisdicciones, especialidades y niveles de competencia.</w:t>
      </w:r>
    </w:p>
    <w:p w:rsidR="00C94603" w:rsidRPr="00E141EC" w:rsidRDefault="00C94603" w:rsidP="00C94603">
      <w:pPr>
        <w:adjustRightInd w:val="0"/>
        <w:spacing w:line="360" w:lineRule="auto"/>
        <w:jc w:val="both"/>
        <w:textAlignment w:val="baseline"/>
        <w:rPr>
          <w:rFonts w:ascii="Book Antiqua" w:hAnsi="Book Antiqua"/>
          <w:sz w:val="24"/>
          <w:szCs w:val="24"/>
        </w:rPr>
      </w:pPr>
      <w:r w:rsidRPr="00E141EC">
        <w:rPr>
          <w:rFonts w:ascii="Book Antiqua" w:hAnsi="Book Antiqua"/>
          <w:sz w:val="24"/>
          <w:szCs w:val="24"/>
        </w:rPr>
        <w:t xml:space="preserve">La Corte Constitucional en el estudio de constitucionalidad previo de la reforma de la </w:t>
      </w:r>
      <w:r w:rsidR="00984869">
        <w:rPr>
          <w:rFonts w:ascii="Book Antiqua" w:hAnsi="Book Antiqua"/>
          <w:sz w:val="24"/>
          <w:szCs w:val="24"/>
        </w:rPr>
        <w:t>L</w:t>
      </w:r>
      <w:r w:rsidRPr="00E141EC">
        <w:rPr>
          <w:rFonts w:ascii="Book Antiqua" w:hAnsi="Book Antiqua"/>
          <w:sz w:val="24"/>
          <w:szCs w:val="24"/>
        </w:rPr>
        <w:t xml:space="preserve">ey </w:t>
      </w:r>
      <w:r w:rsidR="00984869">
        <w:rPr>
          <w:rFonts w:ascii="Book Antiqua" w:hAnsi="Book Antiqua"/>
          <w:sz w:val="24"/>
          <w:szCs w:val="24"/>
        </w:rPr>
        <w:t>E</w:t>
      </w:r>
      <w:r w:rsidRPr="00E141EC">
        <w:rPr>
          <w:rFonts w:ascii="Book Antiqua" w:hAnsi="Book Antiqua"/>
          <w:sz w:val="24"/>
          <w:szCs w:val="24"/>
        </w:rPr>
        <w:t xml:space="preserve">statutaria de la </w:t>
      </w:r>
      <w:r w:rsidR="00984869">
        <w:rPr>
          <w:rFonts w:ascii="Book Antiqua" w:hAnsi="Book Antiqua"/>
          <w:sz w:val="24"/>
          <w:szCs w:val="24"/>
        </w:rPr>
        <w:t>A</w:t>
      </w:r>
      <w:r w:rsidRPr="00E141EC">
        <w:rPr>
          <w:rFonts w:ascii="Book Antiqua" w:hAnsi="Book Antiqua"/>
          <w:sz w:val="24"/>
          <w:szCs w:val="24"/>
        </w:rPr>
        <w:t xml:space="preserve">dministración de </w:t>
      </w:r>
      <w:r w:rsidR="00984869">
        <w:rPr>
          <w:rFonts w:ascii="Book Antiqua" w:hAnsi="Book Antiqua"/>
          <w:sz w:val="24"/>
          <w:szCs w:val="24"/>
        </w:rPr>
        <w:t>J</w:t>
      </w:r>
      <w:r w:rsidRPr="00E141EC">
        <w:rPr>
          <w:rFonts w:ascii="Book Antiqua" w:hAnsi="Book Antiqua"/>
          <w:sz w:val="24"/>
          <w:szCs w:val="24"/>
        </w:rPr>
        <w:t>usticia, Sentencia C-713 de 2008, que permitió la expedición de la ley 1285 de 2009 condicionó la exequibilidad del artículo 2</w:t>
      </w:r>
      <w:r w:rsidR="00984869">
        <w:rPr>
          <w:rFonts w:ascii="Book Antiqua" w:hAnsi="Book Antiqua"/>
          <w:sz w:val="24"/>
          <w:szCs w:val="24"/>
        </w:rPr>
        <w:t>°</w:t>
      </w:r>
      <w:r w:rsidRPr="00E141EC">
        <w:rPr>
          <w:rFonts w:ascii="Book Antiqua" w:hAnsi="Book Antiqua"/>
          <w:sz w:val="24"/>
          <w:szCs w:val="24"/>
        </w:rPr>
        <w:t xml:space="preserve"> de la reforma constitucional, que adopta como principio la oralidad, al cumplimiento de lo</w:t>
      </w:r>
      <w:r w:rsidR="00E30052">
        <w:rPr>
          <w:rFonts w:ascii="Book Antiqua" w:hAnsi="Book Antiqua"/>
          <w:sz w:val="24"/>
          <w:szCs w:val="24"/>
        </w:rPr>
        <w:t>s condicionamientos que llegare a consagrar</w:t>
      </w:r>
      <w:r w:rsidRPr="00E141EC">
        <w:rPr>
          <w:rFonts w:ascii="Book Antiqua" w:hAnsi="Book Antiqua"/>
          <w:sz w:val="24"/>
          <w:szCs w:val="24"/>
        </w:rPr>
        <w:t xml:space="preserve"> el legislador para el proceso de implementación de las leyes que la adoptan en los diferentes campos procesales, de tal manera que el cambio no sea sólo legislativo sino que responda a las exigencias de todo orden que para ello prevea el legislador en cada caso en concreto, señala la Corte:</w:t>
      </w:r>
    </w:p>
    <w:p w:rsidR="00C94603" w:rsidRPr="00E141EC" w:rsidRDefault="00C94603" w:rsidP="00C94603">
      <w:pPr>
        <w:adjustRightInd w:val="0"/>
        <w:spacing w:line="360" w:lineRule="auto"/>
        <w:jc w:val="both"/>
        <w:textAlignment w:val="baseline"/>
        <w:rPr>
          <w:rFonts w:ascii="Book Antiqua" w:hAnsi="Book Antiqua"/>
          <w:i/>
          <w:color w:val="000000"/>
          <w:sz w:val="24"/>
          <w:szCs w:val="24"/>
          <w:lang w:val="es-ES_tradnl"/>
        </w:rPr>
      </w:pPr>
      <w:r w:rsidRPr="00E141EC">
        <w:rPr>
          <w:rFonts w:ascii="Book Antiqua" w:hAnsi="Book Antiqua"/>
          <w:i/>
          <w:color w:val="000000"/>
          <w:sz w:val="24"/>
          <w:szCs w:val="24"/>
          <w:lang w:val="es-ES_tradnl"/>
        </w:rPr>
        <w:t>“Concebida a la manera de principio, la oralidad se proyecta entonces como una norma cuyo alcance puntual debe ser definido por el Legislador de acuerdo con las características y necesidades de cada procedimiento en particular, lo que permite que su desarrollo e implementación pueda hacerse en forma gradual.</w:t>
      </w:r>
    </w:p>
    <w:p w:rsidR="00C94603" w:rsidRPr="00E141EC" w:rsidRDefault="00C94603" w:rsidP="00C94603">
      <w:pPr>
        <w:adjustRightInd w:val="0"/>
        <w:spacing w:line="360" w:lineRule="auto"/>
        <w:jc w:val="both"/>
        <w:textAlignment w:val="baseline"/>
        <w:rPr>
          <w:rFonts w:ascii="Book Antiqua" w:hAnsi="Book Antiqua"/>
          <w:i/>
          <w:color w:val="000000"/>
          <w:sz w:val="24"/>
          <w:szCs w:val="24"/>
          <w:lang w:val="es-ES_tradnl"/>
        </w:rPr>
      </w:pPr>
      <w:r w:rsidRPr="00E141EC">
        <w:rPr>
          <w:rFonts w:ascii="Book Antiqua" w:hAnsi="Book Antiqua"/>
          <w:i/>
          <w:color w:val="000000"/>
          <w:sz w:val="24"/>
          <w:szCs w:val="24"/>
          <w:lang w:val="es-ES_tradnl"/>
        </w:rPr>
        <w:t>Una consecuencia de lo anterior es que, hasta tanto se adopten las respectivas regulaciones para cada proceso, no será posible invocar la nulidad en desarrollo de una actuación judicial, aduciendo la falta de implementación de la oralidad. En este sentido, la Corte deberá condicionar la constitucionalidad de los incisos 1º y 2º del artículo primero del proyecto, en el entendido de que la oralidad sólo puede ser exigible de conformidad con las reglas procedimentales que fije el Legislador.”</w:t>
      </w:r>
    </w:p>
    <w:p w:rsidR="00C94603" w:rsidRDefault="00C94603" w:rsidP="00C94603">
      <w:pPr>
        <w:adjustRightInd w:val="0"/>
        <w:spacing w:line="360" w:lineRule="auto"/>
        <w:jc w:val="both"/>
        <w:textAlignment w:val="baseline"/>
        <w:rPr>
          <w:rFonts w:ascii="Book Antiqua" w:hAnsi="Book Antiqua"/>
          <w:b/>
          <w:sz w:val="24"/>
          <w:szCs w:val="24"/>
        </w:rPr>
      </w:pPr>
      <w:r w:rsidRPr="00E141EC">
        <w:rPr>
          <w:rFonts w:ascii="Book Antiqua" w:hAnsi="Book Antiqua"/>
          <w:color w:val="000000"/>
          <w:sz w:val="24"/>
          <w:szCs w:val="24"/>
          <w:lang w:val="es-ES_tradnl"/>
        </w:rPr>
        <w:t>De donde sí,</w:t>
      </w:r>
      <w:r w:rsidR="00B60F09">
        <w:rPr>
          <w:rFonts w:ascii="Book Antiqua" w:hAnsi="Book Antiqua"/>
          <w:color w:val="000000"/>
          <w:sz w:val="24"/>
          <w:szCs w:val="24"/>
          <w:lang w:val="es-ES_tradnl"/>
        </w:rPr>
        <w:t xml:space="preserve"> </w:t>
      </w:r>
      <w:r w:rsidRPr="00E141EC">
        <w:rPr>
          <w:rFonts w:ascii="Book Antiqua" w:hAnsi="Book Antiqua"/>
          <w:color w:val="000000"/>
          <w:sz w:val="24"/>
          <w:szCs w:val="24"/>
          <w:lang w:val="es-ES_tradnl"/>
        </w:rPr>
        <w:t xml:space="preserve">al igual que el artículo 44 de la </w:t>
      </w:r>
      <w:r w:rsidR="009D3A18">
        <w:rPr>
          <w:rFonts w:ascii="Book Antiqua" w:hAnsi="Book Antiqua"/>
          <w:color w:val="000000"/>
          <w:sz w:val="24"/>
          <w:szCs w:val="24"/>
          <w:lang w:val="es-ES_tradnl"/>
        </w:rPr>
        <w:t>L</w:t>
      </w:r>
      <w:r w:rsidRPr="00E141EC">
        <w:rPr>
          <w:rFonts w:ascii="Book Antiqua" w:hAnsi="Book Antiqua"/>
          <w:color w:val="000000"/>
          <w:sz w:val="24"/>
          <w:szCs w:val="24"/>
          <w:lang w:val="es-ES_tradnl"/>
        </w:rPr>
        <w:t>ey 1395 de 2010, conforme al numeral 7º del artículo 627 del C</w:t>
      </w:r>
      <w:r w:rsidR="000001B5">
        <w:rPr>
          <w:rFonts w:ascii="Book Antiqua" w:hAnsi="Book Antiqua"/>
          <w:color w:val="000000"/>
          <w:sz w:val="24"/>
          <w:szCs w:val="24"/>
          <w:lang w:val="es-ES_tradnl"/>
        </w:rPr>
        <w:t xml:space="preserve">ódigo General </w:t>
      </w:r>
      <w:r w:rsidRPr="00E141EC">
        <w:rPr>
          <w:rFonts w:ascii="Book Antiqua" w:hAnsi="Book Antiqua"/>
          <w:color w:val="000000"/>
          <w:sz w:val="24"/>
          <w:szCs w:val="24"/>
          <w:lang w:val="es-ES_tradnl"/>
        </w:rPr>
        <w:t>del P</w:t>
      </w:r>
      <w:r w:rsidR="000001B5">
        <w:rPr>
          <w:rFonts w:ascii="Book Antiqua" w:hAnsi="Book Antiqua"/>
          <w:color w:val="000000"/>
          <w:sz w:val="24"/>
          <w:szCs w:val="24"/>
          <w:lang w:val="es-ES_tradnl"/>
        </w:rPr>
        <w:t>roceso,</w:t>
      </w:r>
      <w:r w:rsidRPr="00E141EC">
        <w:rPr>
          <w:rFonts w:ascii="Book Antiqua" w:hAnsi="Book Antiqua"/>
          <w:color w:val="000000"/>
          <w:sz w:val="24"/>
          <w:szCs w:val="24"/>
          <w:lang w:val="es-ES_tradnl"/>
        </w:rPr>
        <w:t xml:space="preserve">  el grueso, o demás normas del C.G. del P. entrarán en vigencia a partir del 1º de enero de 2014 de forma gradual </w:t>
      </w:r>
      <w:r w:rsidRPr="00E141EC">
        <w:rPr>
          <w:rFonts w:ascii="Book Antiqua" w:hAnsi="Book Antiqua"/>
          <w:b/>
          <w:color w:val="000000"/>
          <w:sz w:val="24"/>
          <w:szCs w:val="24"/>
          <w:lang w:val="es-ES_tradnl"/>
        </w:rPr>
        <w:t xml:space="preserve">“en la medida en que se hayan ejecutado </w:t>
      </w:r>
      <w:r w:rsidR="008528F2">
        <w:rPr>
          <w:rFonts w:ascii="Book Antiqua" w:hAnsi="Book Antiqua"/>
          <w:b/>
          <w:color w:val="000000"/>
          <w:sz w:val="24"/>
          <w:szCs w:val="24"/>
          <w:lang w:val="es-ES_tradnl"/>
        </w:rPr>
        <w:t>l</w:t>
      </w:r>
      <w:r w:rsidRPr="00E141EC">
        <w:rPr>
          <w:rFonts w:ascii="Book Antiqua" w:hAnsi="Book Antiqua"/>
          <w:b/>
          <w:sz w:val="24"/>
          <w:szCs w:val="24"/>
        </w:rPr>
        <w:t>os programas de formación de funcionarios y empleados y se disponga de la infraestructura física y tecnológica, del número de despachos requeridos al día, y de los demás elementos necesarios para el funcionamiento del sistema oral y por audiencias, según lo determine el Consejo Superior de la Judicatura, y en un plazo máximo de tres años, al final del cual esta entrará en vigencia en todos los distritos judiciales del país”</w:t>
      </w:r>
      <w:r w:rsidR="00DD10D5">
        <w:rPr>
          <w:rFonts w:ascii="Book Antiqua" w:hAnsi="Book Antiqua"/>
          <w:b/>
          <w:sz w:val="24"/>
          <w:szCs w:val="24"/>
        </w:rPr>
        <w:t>.</w:t>
      </w:r>
    </w:p>
    <w:p w:rsidR="00ED51FC" w:rsidRDefault="00ED51FC" w:rsidP="00963C79">
      <w:pPr>
        <w:spacing w:line="276" w:lineRule="auto"/>
        <w:jc w:val="both"/>
        <w:rPr>
          <w:rFonts w:ascii="Book Antiqua" w:hAnsi="Book Antiqua"/>
          <w:b/>
          <w:sz w:val="24"/>
          <w:szCs w:val="24"/>
        </w:rPr>
      </w:pPr>
      <w:r>
        <w:rPr>
          <w:rFonts w:ascii="Book Antiqua" w:hAnsi="Book Antiqua"/>
          <w:b/>
          <w:sz w:val="24"/>
          <w:szCs w:val="24"/>
        </w:rPr>
        <w:lastRenderedPageBreak/>
        <w:t xml:space="preserve">2.- JUSTIFICACIÓN </w:t>
      </w:r>
    </w:p>
    <w:p w:rsidR="00963C79" w:rsidRPr="00ED51FC" w:rsidRDefault="00963C79" w:rsidP="00963C79">
      <w:pPr>
        <w:spacing w:line="276" w:lineRule="auto"/>
        <w:jc w:val="both"/>
        <w:rPr>
          <w:rFonts w:ascii="Book Antiqua" w:hAnsi="Book Antiqua"/>
          <w:b/>
          <w:sz w:val="24"/>
          <w:szCs w:val="24"/>
        </w:rPr>
      </w:pPr>
    </w:p>
    <w:p w:rsidR="00C94603" w:rsidRPr="00E141EC" w:rsidRDefault="00C94603" w:rsidP="00C94603">
      <w:pPr>
        <w:adjustRightInd w:val="0"/>
        <w:spacing w:line="360" w:lineRule="auto"/>
        <w:jc w:val="both"/>
        <w:textAlignment w:val="baseline"/>
        <w:rPr>
          <w:rFonts w:ascii="Book Antiqua" w:hAnsi="Book Antiqua"/>
          <w:color w:val="000000"/>
          <w:sz w:val="24"/>
          <w:szCs w:val="24"/>
          <w:lang w:val="es-ES_tradnl"/>
        </w:rPr>
      </w:pPr>
      <w:r w:rsidRPr="00E141EC">
        <w:rPr>
          <w:rFonts w:ascii="Book Antiqua" w:hAnsi="Book Antiqua"/>
          <w:sz w:val="24"/>
          <w:szCs w:val="24"/>
        </w:rPr>
        <w:t>Se torna entonces imperativo para la</w:t>
      </w:r>
      <w:r w:rsidR="00E30052">
        <w:rPr>
          <w:rFonts w:ascii="Book Antiqua" w:hAnsi="Book Antiqua"/>
          <w:sz w:val="24"/>
          <w:szCs w:val="24"/>
        </w:rPr>
        <w:t xml:space="preserve"> puesta en funcionamiento del sistema procesal oral</w:t>
      </w:r>
      <w:r w:rsidRPr="00E141EC">
        <w:rPr>
          <w:rFonts w:ascii="Book Antiqua" w:hAnsi="Book Antiqua"/>
          <w:sz w:val="24"/>
          <w:szCs w:val="24"/>
        </w:rPr>
        <w:t>,</w:t>
      </w:r>
      <w:r w:rsidR="00A928C7">
        <w:rPr>
          <w:rFonts w:ascii="Book Antiqua" w:hAnsi="Book Antiqua"/>
          <w:sz w:val="24"/>
          <w:szCs w:val="24"/>
        </w:rPr>
        <w:t xml:space="preserve"> </w:t>
      </w:r>
      <w:r w:rsidR="00ED51FC">
        <w:rPr>
          <w:rFonts w:ascii="Book Antiqua" w:hAnsi="Book Antiqua"/>
          <w:sz w:val="24"/>
          <w:szCs w:val="24"/>
        </w:rPr>
        <w:t>L</w:t>
      </w:r>
      <w:r w:rsidR="00E30052">
        <w:rPr>
          <w:rFonts w:ascii="Book Antiqua" w:hAnsi="Book Antiqua"/>
          <w:sz w:val="24"/>
          <w:szCs w:val="24"/>
        </w:rPr>
        <w:t>ey</w:t>
      </w:r>
      <w:r w:rsidRPr="00E141EC">
        <w:rPr>
          <w:rFonts w:ascii="Book Antiqua" w:hAnsi="Book Antiqua"/>
          <w:sz w:val="24"/>
          <w:szCs w:val="24"/>
        </w:rPr>
        <w:t xml:space="preserve"> 1395</w:t>
      </w:r>
      <w:r w:rsidR="00CA27F3">
        <w:rPr>
          <w:rFonts w:ascii="Book Antiqua" w:hAnsi="Book Antiqua"/>
          <w:sz w:val="24"/>
          <w:szCs w:val="24"/>
        </w:rPr>
        <w:t xml:space="preserve"> de 2010</w:t>
      </w:r>
      <w:r w:rsidRPr="00E141EC">
        <w:rPr>
          <w:rFonts w:ascii="Book Antiqua" w:hAnsi="Book Antiqua"/>
          <w:sz w:val="24"/>
          <w:szCs w:val="24"/>
        </w:rPr>
        <w:t xml:space="preserve"> y </w:t>
      </w:r>
      <w:r w:rsidR="00CA27F3">
        <w:rPr>
          <w:rFonts w:ascii="Book Antiqua" w:hAnsi="Book Antiqua"/>
          <w:sz w:val="24"/>
          <w:szCs w:val="24"/>
        </w:rPr>
        <w:t xml:space="preserve">el </w:t>
      </w:r>
      <w:r w:rsidRPr="00E141EC">
        <w:rPr>
          <w:rFonts w:ascii="Book Antiqua" w:hAnsi="Book Antiqua"/>
          <w:sz w:val="24"/>
          <w:szCs w:val="24"/>
        </w:rPr>
        <w:t>Código General del Proceso, el cumplimiento de las exigencias que el propio código trae, y no puede desconocerse tal obligación, la implementación de la logística y capacitación</w:t>
      </w:r>
      <w:r w:rsidR="00CA27F3">
        <w:rPr>
          <w:rFonts w:ascii="Book Antiqua" w:hAnsi="Book Antiqua"/>
          <w:sz w:val="24"/>
          <w:szCs w:val="24"/>
        </w:rPr>
        <w:t xml:space="preserve"> necesarios</w:t>
      </w:r>
      <w:r w:rsidRPr="00E141EC">
        <w:rPr>
          <w:rFonts w:ascii="Book Antiqua" w:hAnsi="Book Antiqua"/>
          <w:sz w:val="24"/>
          <w:szCs w:val="24"/>
        </w:rPr>
        <w:t>, pues se vulnera el condicionamiento que la Corte Constitucional hiz</w:t>
      </w:r>
      <w:r w:rsidR="00963C79">
        <w:rPr>
          <w:rFonts w:ascii="Book Antiqua" w:hAnsi="Book Antiqua"/>
          <w:sz w:val="24"/>
          <w:szCs w:val="24"/>
        </w:rPr>
        <w:t>o</w:t>
      </w:r>
      <w:r w:rsidRPr="00E141EC">
        <w:rPr>
          <w:rFonts w:ascii="Book Antiqua" w:hAnsi="Book Antiqua"/>
          <w:sz w:val="24"/>
          <w:szCs w:val="24"/>
        </w:rPr>
        <w:t xml:space="preserve"> de la incorporación del principio de oralidad.</w:t>
      </w:r>
    </w:p>
    <w:p w:rsidR="009E0335" w:rsidRPr="00E141EC" w:rsidRDefault="00C94603" w:rsidP="009E0335">
      <w:pPr>
        <w:spacing w:line="360" w:lineRule="auto"/>
        <w:jc w:val="both"/>
        <w:rPr>
          <w:rFonts w:ascii="Book Antiqua" w:hAnsi="Book Antiqua"/>
          <w:sz w:val="24"/>
          <w:szCs w:val="24"/>
          <w:lang w:val="es-CO"/>
        </w:rPr>
      </w:pPr>
      <w:r w:rsidRPr="00E141EC">
        <w:rPr>
          <w:rFonts w:ascii="Book Antiqua" w:hAnsi="Book Antiqua"/>
          <w:color w:val="000000"/>
          <w:sz w:val="24"/>
          <w:szCs w:val="24"/>
          <w:lang w:val="es-ES_tradnl"/>
        </w:rPr>
        <w:t xml:space="preserve">Sin embargo ese proceso, en lo que refiere a los ámbitos civil y familia de la jurisdicción ordinaria no ha podido fluir como se quería y ello primordialmente por la falta del recurso económico que resulta vital en cuanto depende de la realización de cambios en la infraestructura física de los despachos judiciales con la construcción o adecuación de salas de audiencia, inversión en tecnología, programas de computación, sistemas de audio y video, a más de la formación </w:t>
      </w:r>
      <w:r w:rsidR="009E0335" w:rsidRPr="00E141EC">
        <w:rPr>
          <w:rFonts w:ascii="Book Antiqua" w:hAnsi="Book Antiqua"/>
          <w:sz w:val="24"/>
          <w:szCs w:val="24"/>
          <w:lang w:val="es-CO"/>
        </w:rPr>
        <w:t>un proceso sólido de formación de los servidores públicos y de los abogados litigantes, que les permitan adecuar su quehacer a la nueva normatividad, condiciones de trabajo y al modelo de gestión.</w:t>
      </w:r>
    </w:p>
    <w:p w:rsidR="00C94603" w:rsidRPr="009E0335" w:rsidRDefault="00C94603" w:rsidP="00C94603">
      <w:pPr>
        <w:adjustRightInd w:val="0"/>
        <w:spacing w:line="360" w:lineRule="auto"/>
        <w:jc w:val="both"/>
        <w:textAlignment w:val="baseline"/>
        <w:rPr>
          <w:rFonts w:ascii="Book Antiqua" w:hAnsi="Book Antiqua"/>
          <w:color w:val="000000"/>
          <w:sz w:val="24"/>
          <w:szCs w:val="24"/>
          <w:lang w:val="es-CO"/>
        </w:rPr>
      </w:pPr>
      <w:r w:rsidRPr="00E141EC">
        <w:rPr>
          <w:rFonts w:ascii="Book Antiqua" w:hAnsi="Book Antiqua"/>
          <w:color w:val="000000"/>
          <w:sz w:val="24"/>
          <w:szCs w:val="24"/>
          <w:lang w:val="es-ES_tradnl"/>
        </w:rPr>
        <w:t>A punto tal que los cronogramas de entrada en vigencia de la ley 1395 de 2010, puerta de entrada de la oralidad en los ámbitos civil y familia de la jurisdicción ordinaria necesitaron aplazarse y para ello, el Consejo Superior de la Judicatura present</w:t>
      </w:r>
      <w:r w:rsidR="009D3A18">
        <w:rPr>
          <w:rFonts w:ascii="Book Antiqua" w:hAnsi="Book Antiqua"/>
          <w:color w:val="000000"/>
          <w:sz w:val="24"/>
          <w:szCs w:val="24"/>
          <w:lang w:val="es-ES_tradnl"/>
        </w:rPr>
        <w:t>ó</w:t>
      </w:r>
      <w:r w:rsidRPr="00E141EC">
        <w:rPr>
          <w:rFonts w:ascii="Book Antiqua" w:hAnsi="Book Antiqua"/>
          <w:color w:val="000000"/>
          <w:sz w:val="24"/>
          <w:szCs w:val="24"/>
          <w:lang w:val="es-ES_tradnl"/>
        </w:rPr>
        <w:t xml:space="preserve"> un proyecto de ley que ampliara el margen temporal de su implementación.  </w:t>
      </w:r>
    </w:p>
    <w:p w:rsidR="00C94603" w:rsidRPr="00E141EC" w:rsidRDefault="00C94603" w:rsidP="00C94603">
      <w:pPr>
        <w:adjustRightInd w:val="0"/>
        <w:spacing w:line="360" w:lineRule="auto"/>
        <w:jc w:val="both"/>
        <w:textAlignment w:val="baseline"/>
        <w:rPr>
          <w:rFonts w:ascii="Book Antiqua" w:hAnsi="Book Antiqua"/>
          <w:color w:val="000000"/>
          <w:sz w:val="24"/>
          <w:szCs w:val="24"/>
          <w:lang w:val="es-ES_tradnl"/>
        </w:rPr>
      </w:pPr>
      <w:r w:rsidRPr="00E141EC">
        <w:rPr>
          <w:rFonts w:ascii="Book Antiqua" w:hAnsi="Book Antiqua"/>
          <w:color w:val="000000"/>
          <w:sz w:val="24"/>
          <w:szCs w:val="24"/>
          <w:lang w:val="es-ES_tradnl"/>
        </w:rPr>
        <w:t>Por iniciativa del propio C.S. de la J.,</w:t>
      </w:r>
      <w:r w:rsidRPr="00E141EC">
        <w:rPr>
          <w:rFonts w:ascii="Book Antiqua" w:hAnsi="Book Antiqua"/>
          <w:i/>
          <w:sz w:val="24"/>
          <w:szCs w:val="24"/>
        </w:rPr>
        <w:t>la Ley 1716 de 2014,  modificó el artículo 44 de la Ley 1395 de 2010, ampliando el plazo límite máximo de entrada del sistema oral en los procesos civiles, de familia y agrarios hasta el 31 de diciembre de 2015</w:t>
      </w:r>
      <w:r w:rsidRPr="00E141EC">
        <w:rPr>
          <w:rFonts w:ascii="Book Antiqua" w:hAnsi="Book Antiqua"/>
          <w:color w:val="000000"/>
          <w:sz w:val="24"/>
          <w:szCs w:val="24"/>
          <w:lang w:val="es-ES_tradnl"/>
        </w:rPr>
        <w:t xml:space="preserve"> y aunque a principio de este año varios distritos entraron parcialmente en la oralidad de la ley 1395 </w:t>
      </w:r>
      <w:r w:rsidR="009D3A18">
        <w:rPr>
          <w:rFonts w:ascii="Book Antiqua" w:hAnsi="Book Antiqua"/>
          <w:color w:val="000000"/>
          <w:sz w:val="24"/>
          <w:szCs w:val="24"/>
          <w:lang w:val="es-ES_tradnl"/>
        </w:rPr>
        <w:t xml:space="preserve">de 2010 </w:t>
      </w:r>
      <w:r w:rsidRPr="00E141EC">
        <w:rPr>
          <w:rFonts w:ascii="Book Antiqua" w:hAnsi="Book Antiqua"/>
          <w:color w:val="000000"/>
          <w:sz w:val="24"/>
          <w:szCs w:val="24"/>
          <w:lang w:val="es-ES_tradnl"/>
        </w:rPr>
        <w:t>el proceso no ha terminado y aún son 10 los distritos judiciales que en el país no tienen las condiciones logísticas para asumir el reto del cambio de sistema procesal.</w:t>
      </w:r>
    </w:p>
    <w:p w:rsidR="00C94603" w:rsidRPr="00E141EC" w:rsidRDefault="00C94603" w:rsidP="00C94603">
      <w:pPr>
        <w:adjustRightInd w:val="0"/>
        <w:spacing w:line="360" w:lineRule="auto"/>
        <w:jc w:val="both"/>
        <w:textAlignment w:val="baseline"/>
        <w:rPr>
          <w:rFonts w:ascii="Book Antiqua" w:hAnsi="Book Antiqua"/>
          <w:color w:val="000000"/>
          <w:sz w:val="24"/>
          <w:szCs w:val="24"/>
          <w:lang w:val="es-ES_tradnl"/>
        </w:rPr>
      </w:pPr>
      <w:r w:rsidRPr="00E141EC">
        <w:rPr>
          <w:rFonts w:ascii="Book Antiqua" w:hAnsi="Book Antiqua"/>
          <w:color w:val="000000"/>
          <w:sz w:val="24"/>
          <w:szCs w:val="24"/>
          <w:lang w:val="es-ES_tradnl"/>
        </w:rPr>
        <w:t>Al referirse a este tema y a los resultados finales obtenidos a diciembre 31 de 2014, el mismo informe señaló:</w:t>
      </w:r>
    </w:p>
    <w:p w:rsidR="00C94603" w:rsidRPr="00E141EC" w:rsidRDefault="00C94603" w:rsidP="00C94603">
      <w:pPr>
        <w:spacing w:line="360" w:lineRule="auto"/>
        <w:jc w:val="both"/>
        <w:rPr>
          <w:rFonts w:ascii="Book Antiqua" w:hAnsi="Book Antiqua"/>
          <w:i/>
          <w:sz w:val="24"/>
          <w:szCs w:val="24"/>
        </w:rPr>
      </w:pPr>
      <w:r w:rsidRPr="00E141EC">
        <w:rPr>
          <w:rFonts w:ascii="Book Antiqua" w:hAnsi="Book Antiqua"/>
          <w:i/>
          <w:sz w:val="24"/>
          <w:szCs w:val="24"/>
        </w:rPr>
        <w:lastRenderedPageBreak/>
        <w:t xml:space="preserve">“Especialidad civil y familia La oralidad en la especialidad civil está enmarcada en la Ley 1395 de 2010 “Por la cual se adoptan medidas en materia de descongestión judicial”, que introdujo modificaciones al procedimiento civil, en cuyo artículo 44, parágrafo único, determinó “[…] Los procesos del Código de Procedimiento Civil y la modificación al artículo 38 de la Ley 640 de 2001, entrarán en vigencia a partir del 1o de enero de 2011 en forma gradual a medida que se disponga de los recursos físicos necesarios, según lo determine el Consejo Superior de la Judicatura, en un plazo máximo de tres años. […]” Para la implementación de la oralidad en las especialidades, civil y de familia, la Sala Administrativa del Consejo Superior de la Judicatura estableció varias fases, la primera que inició a partir del 1º de octubre de 2011, ingresando a la oralidad los Distritos Judiciales de Florencia, Manizales, Montería, Valledupar, San Gil, Archipiélago de San Andrés, Providencia y Santa Catalina y Armenia. Posteriormente se dispuso el ingreso a la oralidad de los Distritos Judiciales de Arauca, Barranquilla, Cali, Cúcuta, Medellín, Pamplona, Santa Rosa de Viterbo y Tunja. El Consejo Superior de la Judicatura presentó al Congreso de la República un proyecto que posteriormente fue aprobado mediante la Ley 1716 de 2014, el cual modificó el artículo 44 de la Ley 1395 de 2010, ampliando el plazo límite máximo de entrada del sistema oral en los procesos civiles, de familia y agrarios hasta el 31 de diciembre de 2015. </w:t>
      </w:r>
      <w:r w:rsidR="00CA27F3">
        <w:rPr>
          <w:rFonts w:ascii="Book Antiqua" w:hAnsi="Book Antiqua"/>
          <w:i/>
          <w:sz w:val="24"/>
          <w:szCs w:val="24"/>
        </w:rPr>
        <w:t xml:space="preserve"> Del </w:t>
      </w:r>
      <w:r w:rsidRPr="00E141EC">
        <w:rPr>
          <w:rFonts w:ascii="Book Antiqua" w:hAnsi="Book Antiqua"/>
          <w:i/>
          <w:sz w:val="24"/>
          <w:szCs w:val="24"/>
        </w:rPr>
        <w:t xml:space="preserve">16 </w:t>
      </w:r>
      <w:r w:rsidR="00E27BB9">
        <w:rPr>
          <w:rFonts w:ascii="Book Antiqua" w:hAnsi="Book Antiqua"/>
          <w:i/>
          <w:sz w:val="24"/>
          <w:szCs w:val="24"/>
        </w:rPr>
        <w:t>a</w:t>
      </w:r>
      <w:r w:rsidRPr="00E141EC">
        <w:rPr>
          <w:rFonts w:ascii="Book Antiqua" w:hAnsi="Book Antiqua"/>
          <w:i/>
          <w:sz w:val="24"/>
          <w:szCs w:val="24"/>
        </w:rPr>
        <w:t xml:space="preserve"> 31 de diciembre de 2014, de los 1.200 despachos judiciales permanentes de las especialidades civil y de familia, han ingresado al sistema procesal oral 91 despachos, lo que equivale al 8%.</w:t>
      </w:r>
    </w:p>
    <w:p w:rsidR="00C94603" w:rsidRPr="00E141EC" w:rsidRDefault="00C94603" w:rsidP="00C94603">
      <w:pPr>
        <w:adjustRightInd w:val="0"/>
        <w:spacing w:line="360" w:lineRule="auto"/>
        <w:jc w:val="both"/>
        <w:textAlignment w:val="baseline"/>
        <w:rPr>
          <w:rFonts w:ascii="Book Antiqua" w:hAnsi="Book Antiqua"/>
          <w:color w:val="000000"/>
          <w:sz w:val="24"/>
          <w:szCs w:val="24"/>
          <w:lang w:val="es-ES_tradnl"/>
        </w:rPr>
      </w:pPr>
      <w:r w:rsidRPr="00E141EC">
        <w:rPr>
          <w:rFonts w:ascii="Book Antiqua" w:hAnsi="Book Antiqua"/>
          <w:color w:val="000000"/>
          <w:sz w:val="24"/>
          <w:szCs w:val="24"/>
          <w:lang w:val="es-ES_tradnl"/>
        </w:rPr>
        <w:t>Los problemas son de orden presupue</w:t>
      </w:r>
      <w:r w:rsidR="00ED677B">
        <w:rPr>
          <w:rFonts w:ascii="Book Antiqua" w:hAnsi="Book Antiqua"/>
          <w:color w:val="000000"/>
          <w:sz w:val="24"/>
          <w:szCs w:val="24"/>
          <w:lang w:val="es-ES_tradnl"/>
        </w:rPr>
        <w:t>stal y todo pasa por el monto</w:t>
      </w:r>
      <w:r w:rsidRPr="00E141EC">
        <w:rPr>
          <w:rFonts w:ascii="Book Antiqua" w:hAnsi="Book Antiqua"/>
          <w:color w:val="000000"/>
          <w:sz w:val="24"/>
          <w:szCs w:val="24"/>
          <w:lang w:val="es-ES_tradnl"/>
        </w:rPr>
        <w:t xml:space="preserve"> de recursos que para el sector justicia se destina anualmente por el Gobierno</w:t>
      </w:r>
      <w:r w:rsidR="00E27BB9">
        <w:rPr>
          <w:rFonts w:ascii="Book Antiqua" w:hAnsi="Book Antiqua"/>
          <w:color w:val="000000"/>
          <w:sz w:val="24"/>
          <w:szCs w:val="24"/>
          <w:lang w:val="es-ES_tradnl"/>
        </w:rPr>
        <w:t xml:space="preserve"> Nacional</w:t>
      </w:r>
      <w:r w:rsidRPr="00E141EC">
        <w:rPr>
          <w:rFonts w:ascii="Book Antiqua" w:hAnsi="Book Antiqua"/>
          <w:color w:val="000000"/>
          <w:sz w:val="24"/>
          <w:szCs w:val="24"/>
          <w:lang w:val="es-ES_tradnl"/>
        </w:rPr>
        <w:t xml:space="preserve">, pues carece la </w:t>
      </w:r>
      <w:r w:rsidR="00E27BB9">
        <w:rPr>
          <w:rFonts w:ascii="Book Antiqua" w:hAnsi="Book Antiqua"/>
          <w:color w:val="000000"/>
          <w:sz w:val="24"/>
          <w:szCs w:val="24"/>
          <w:lang w:val="es-ES_tradnl"/>
        </w:rPr>
        <w:t>R</w:t>
      </w:r>
      <w:r w:rsidRPr="00E141EC">
        <w:rPr>
          <w:rFonts w:ascii="Book Antiqua" w:hAnsi="Book Antiqua"/>
          <w:color w:val="000000"/>
          <w:sz w:val="24"/>
          <w:szCs w:val="24"/>
          <w:lang w:val="es-ES_tradnl"/>
        </w:rPr>
        <w:t xml:space="preserve">ama </w:t>
      </w:r>
      <w:r w:rsidR="00E27BB9">
        <w:rPr>
          <w:rFonts w:ascii="Book Antiqua" w:hAnsi="Book Antiqua"/>
          <w:color w:val="000000"/>
          <w:sz w:val="24"/>
          <w:szCs w:val="24"/>
          <w:lang w:val="es-ES_tradnl"/>
        </w:rPr>
        <w:t>J</w:t>
      </w:r>
      <w:r w:rsidRPr="00E141EC">
        <w:rPr>
          <w:rFonts w:ascii="Book Antiqua" w:hAnsi="Book Antiqua"/>
          <w:color w:val="000000"/>
          <w:sz w:val="24"/>
          <w:szCs w:val="24"/>
          <w:lang w:val="es-ES_tradnl"/>
        </w:rPr>
        <w:t>udicial de injerencia directa en su asignación.</w:t>
      </w:r>
    </w:p>
    <w:p w:rsidR="00C94603" w:rsidRPr="00E141EC" w:rsidRDefault="00C94603" w:rsidP="00C94603">
      <w:pPr>
        <w:spacing w:line="360" w:lineRule="auto"/>
        <w:jc w:val="both"/>
        <w:outlineLvl w:val="0"/>
        <w:rPr>
          <w:rFonts w:ascii="Book Antiqua" w:hAnsi="Book Antiqua" w:cs="Arial"/>
          <w:b/>
          <w:bCs/>
          <w:color w:val="555555"/>
          <w:kern w:val="36"/>
          <w:sz w:val="24"/>
          <w:szCs w:val="24"/>
          <w:lang w:eastAsia="es-CO"/>
        </w:rPr>
      </w:pPr>
      <w:r w:rsidRPr="00E141EC">
        <w:rPr>
          <w:rFonts w:ascii="Book Antiqua" w:hAnsi="Book Antiqua"/>
          <w:color w:val="000000"/>
          <w:sz w:val="24"/>
          <w:szCs w:val="24"/>
          <w:lang w:val="es-ES_tradnl"/>
        </w:rPr>
        <w:t>Así,</w:t>
      </w:r>
      <w:r w:rsidR="00A928C7">
        <w:rPr>
          <w:rFonts w:ascii="Book Antiqua" w:hAnsi="Book Antiqua"/>
          <w:color w:val="000000"/>
          <w:sz w:val="24"/>
          <w:szCs w:val="24"/>
          <w:lang w:val="es-ES_tradnl"/>
        </w:rPr>
        <w:t xml:space="preserve"> </w:t>
      </w:r>
      <w:r w:rsidR="00ED677B">
        <w:rPr>
          <w:rFonts w:ascii="Book Antiqua" w:hAnsi="Book Antiqua"/>
          <w:color w:val="000000"/>
          <w:sz w:val="24"/>
          <w:szCs w:val="24"/>
          <w:lang w:val="es-ES_tradnl"/>
        </w:rPr>
        <w:t xml:space="preserve">en el </w:t>
      </w:r>
      <w:r w:rsidR="00CA27F3">
        <w:rPr>
          <w:rFonts w:ascii="Book Antiqua" w:hAnsi="Book Antiqua"/>
          <w:color w:val="000000"/>
          <w:sz w:val="24"/>
          <w:szCs w:val="24"/>
          <w:lang w:val="es-ES_tradnl"/>
        </w:rPr>
        <w:t>“</w:t>
      </w:r>
      <w:r w:rsidRPr="00E141EC">
        <w:rPr>
          <w:rFonts w:ascii="Book Antiqua" w:hAnsi="Book Antiqua" w:cs="Arial"/>
          <w:bCs/>
          <w:kern w:val="36"/>
          <w:sz w:val="24"/>
          <w:szCs w:val="24"/>
          <w:lang w:eastAsia="es-CO"/>
        </w:rPr>
        <w:t>Informe de Gestión 2013-2014</w:t>
      </w:r>
      <w:r w:rsidR="00CA27F3">
        <w:rPr>
          <w:rFonts w:ascii="Book Antiqua" w:hAnsi="Book Antiqua" w:cs="Arial"/>
          <w:bCs/>
          <w:kern w:val="36"/>
          <w:sz w:val="24"/>
          <w:szCs w:val="24"/>
          <w:lang w:eastAsia="es-CO"/>
        </w:rPr>
        <w:t>”</w:t>
      </w:r>
      <w:r w:rsidRPr="00E141EC">
        <w:rPr>
          <w:rFonts w:ascii="Book Antiqua" w:hAnsi="Book Antiqua" w:cs="Arial"/>
          <w:bCs/>
          <w:kern w:val="36"/>
          <w:sz w:val="24"/>
          <w:szCs w:val="24"/>
          <w:lang w:eastAsia="es-CO"/>
        </w:rPr>
        <w:t xml:space="preserve"> Sala Administrativa Consejo Sup</w:t>
      </w:r>
      <w:r w:rsidRPr="005A4496">
        <w:rPr>
          <w:rFonts w:ascii="Book Antiqua" w:hAnsi="Book Antiqua" w:cs="Arial"/>
          <w:bCs/>
          <w:kern w:val="36"/>
          <w:sz w:val="24"/>
          <w:szCs w:val="24"/>
          <w:lang w:eastAsia="es-CO"/>
        </w:rPr>
        <w:t>erior</w:t>
      </w:r>
      <w:r w:rsidR="005A4496">
        <w:rPr>
          <w:rStyle w:val="Refdenotaalpie"/>
          <w:rFonts w:ascii="Book Antiqua" w:hAnsi="Book Antiqua" w:cs="Arial"/>
          <w:bCs/>
          <w:kern w:val="36"/>
          <w:sz w:val="24"/>
          <w:szCs w:val="24"/>
          <w:lang w:eastAsia="es-CO"/>
        </w:rPr>
        <w:footnoteReference w:id="2"/>
      </w:r>
      <w:r w:rsidRPr="00E141EC">
        <w:rPr>
          <w:rFonts w:ascii="Book Antiqua" w:hAnsi="Book Antiqua" w:cs="Arial"/>
          <w:bCs/>
          <w:kern w:val="36"/>
          <w:sz w:val="24"/>
          <w:szCs w:val="24"/>
          <w:lang w:eastAsia="es-CO"/>
        </w:rPr>
        <w:t xml:space="preserve"> de la Judicatur</w:t>
      </w:r>
      <w:r w:rsidR="00ED677B">
        <w:rPr>
          <w:rFonts w:ascii="Book Antiqua" w:hAnsi="Book Antiqua" w:cs="Arial"/>
          <w:bCs/>
          <w:kern w:val="36"/>
          <w:sz w:val="24"/>
          <w:szCs w:val="24"/>
          <w:lang w:eastAsia="es-CO"/>
        </w:rPr>
        <w:t xml:space="preserve">a, preguntas frecuentes, </w:t>
      </w:r>
      <w:r w:rsidR="00CA27F3">
        <w:rPr>
          <w:rFonts w:ascii="Book Antiqua" w:hAnsi="Book Antiqua" w:cs="Arial"/>
          <w:bCs/>
          <w:kern w:val="36"/>
          <w:sz w:val="24"/>
          <w:szCs w:val="24"/>
          <w:lang w:eastAsia="es-CO"/>
        </w:rPr>
        <w:t>exponía</w:t>
      </w:r>
      <w:r w:rsidRPr="00E141EC">
        <w:rPr>
          <w:rFonts w:ascii="Book Antiqua" w:hAnsi="Book Antiqua" w:cs="Arial"/>
          <w:bCs/>
          <w:kern w:val="36"/>
          <w:sz w:val="24"/>
          <w:szCs w:val="24"/>
          <w:lang w:eastAsia="es-CO"/>
        </w:rPr>
        <w:t>:</w:t>
      </w:r>
    </w:p>
    <w:p w:rsidR="00C94603" w:rsidRPr="00E141EC" w:rsidRDefault="00C94603" w:rsidP="00C94603">
      <w:pPr>
        <w:spacing w:before="100" w:beforeAutospacing="1" w:after="240" w:line="360" w:lineRule="auto"/>
        <w:jc w:val="both"/>
        <w:rPr>
          <w:rFonts w:ascii="Book Antiqua" w:hAnsi="Book Antiqua" w:cs="Arial"/>
          <w:i/>
          <w:sz w:val="24"/>
          <w:szCs w:val="24"/>
          <w:lang w:eastAsia="es-CO"/>
        </w:rPr>
      </w:pPr>
      <w:r w:rsidRPr="00E141EC">
        <w:rPr>
          <w:rFonts w:ascii="Book Antiqua" w:hAnsi="Book Antiqua" w:cs="Arial"/>
          <w:i/>
          <w:sz w:val="24"/>
          <w:szCs w:val="24"/>
          <w:lang w:eastAsia="es-CO"/>
        </w:rPr>
        <w:t>“¿Con qué presupuesto cuenta la Rama Judicial?</w:t>
      </w:r>
    </w:p>
    <w:p w:rsidR="00C94603" w:rsidRPr="00E141EC" w:rsidRDefault="00C94603" w:rsidP="00C94603">
      <w:pPr>
        <w:spacing w:before="100" w:beforeAutospacing="1" w:after="240" w:line="360" w:lineRule="auto"/>
        <w:jc w:val="both"/>
        <w:rPr>
          <w:rFonts w:ascii="Book Antiqua" w:hAnsi="Book Antiqua" w:cs="Arial"/>
          <w:i/>
          <w:sz w:val="24"/>
          <w:szCs w:val="24"/>
          <w:lang w:eastAsia="es-CO"/>
        </w:rPr>
      </w:pPr>
      <w:r w:rsidRPr="00E141EC">
        <w:rPr>
          <w:rFonts w:ascii="Book Antiqua" w:hAnsi="Book Antiqua" w:cs="Arial"/>
          <w:i/>
          <w:sz w:val="24"/>
          <w:szCs w:val="24"/>
          <w:lang w:eastAsia="es-CO"/>
        </w:rPr>
        <w:t>Se solicitaron 5 billones de pesos para funcionamiento e inversión pero sólo aprobaron 2,8 billones de pesos, e</w:t>
      </w:r>
      <w:r w:rsidR="00CA27F3">
        <w:rPr>
          <w:rFonts w:ascii="Book Antiqua" w:hAnsi="Book Antiqua" w:cs="Arial"/>
          <w:i/>
          <w:sz w:val="24"/>
          <w:szCs w:val="24"/>
          <w:lang w:eastAsia="es-CO"/>
        </w:rPr>
        <w:t>s</w:t>
      </w:r>
      <w:r w:rsidRPr="00E141EC">
        <w:rPr>
          <w:rFonts w:ascii="Book Antiqua" w:hAnsi="Book Antiqua" w:cs="Arial"/>
          <w:i/>
          <w:sz w:val="24"/>
          <w:szCs w:val="24"/>
          <w:lang w:eastAsia="es-CO"/>
        </w:rPr>
        <w:t xml:space="preserve"> decir el 56% de lo solicitado. Tenemos un déficit de 2,2 billones de pesos.</w:t>
      </w:r>
    </w:p>
    <w:p w:rsidR="00C94603" w:rsidRPr="00E141EC" w:rsidRDefault="00C94603" w:rsidP="00C94603">
      <w:pPr>
        <w:spacing w:before="100" w:beforeAutospacing="1" w:after="240" w:line="360" w:lineRule="auto"/>
        <w:jc w:val="both"/>
        <w:rPr>
          <w:rFonts w:ascii="Book Antiqua" w:hAnsi="Book Antiqua" w:cs="Arial"/>
          <w:i/>
          <w:sz w:val="24"/>
          <w:szCs w:val="24"/>
          <w:lang w:eastAsia="es-CO"/>
        </w:rPr>
      </w:pPr>
      <w:r w:rsidRPr="00E141EC">
        <w:rPr>
          <w:rFonts w:ascii="Book Antiqua" w:hAnsi="Book Antiqua" w:cs="Arial"/>
          <w:i/>
          <w:sz w:val="24"/>
          <w:szCs w:val="24"/>
          <w:lang w:eastAsia="es-CO"/>
        </w:rPr>
        <w:lastRenderedPageBreak/>
        <w:t>Con los recursos que tenemos, hacemos esfuerzos (‘maromas') para tratar de cumplir con las metas, planes y programas formulados a mediano y largo plazo y cumplir además con otras obligaciones impuestas a la Rama Judicial como la implementación de la oralidad y la descongestión.</w:t>
      </w:r>
    </w:p>
    <w:p w:rsidR="00C94603" w:rsidRPr="00E141EC" w:rsidRDefault="00C94603" w:rsidP="00C94603">
      <w:pPr>
        <w:spacing w:before="100" w:beforeAutospacing="1" w:after="240" w:line="360" w:lineRule="auto"/>
        <w:jc w:val="both"/>
        <w:rPr>
          <w:rFonts w:ascii="Book Antiqua" w:hAnsi="Book Antiqua" w:cs="Arial"/>
          <w:i/>
          <w:sz w:val="24"/>
          <w:szCs w:val="24"/>
          <w:lang w:eastAsia="es-CO"/>
        </w:rPr>
      </w:pPr>
      <w:r w:rsidRPr="00E141EC">
        <w:rPr>
          <w:rFonts w:ascii="Book Antiqua" w:hAnsi="Book Antiqua" w:cs="Arial"/>
          <w:i/>
          <w:sz w:val="24"/>
          <w:szCs w:val="24"/>
          <w:lang w:eastAsia="es-CO"/>
        </w:rPr>
        <w:t>¿Cómo se distribuye el presupuesto?</w:t>
      </w:r>
    </w:p>
    <w:p w:rsidR="00C94603" w:rsidRPr="00E141EC" w:rsidRDefault="00C94603" w:rsidP="00C94603">
      <w:pPr>
        <w:spacing w:before="100" w:beforeAutospacing="1" w:after="240" w:line="360" w:lineRule="auto"/>
        <w:jc w:val="both"/>
        <w:rPr>
          <w:rFonts w:ascii="Book Antiqua" w:hAnsi="Book Antiqua" w:cs="Arial"/>
          <w:i/>
          <w:sz w:val="24"/>
          <w:szCs w:val="24"/>
          <w:lang w:eastAsia="es-CO"/>
        </w:rPr>
      </w:pPr>
      <w:r w:rsidRPr="00E141EC">
        <w:rPr>
          <w:rFonts w:ascii="Book Antiqua" w:hAnsi="Book Antiqua" w:cs="Arial"/>
          <w:i/>
          <w:sz w:val="24"/>
          <w:szCs w:val="24"/>
          <w:lang w:eastAsia="es-CO"/>
        </w:rPr>
        <w:t>De los 2.8 billones de pesos asignados, $2.5 billones son para funcionamiento es decir para el pago de salarios y prestaciones de los funcionarios y los recursos restantes se invierten en 10 programas.</w:t>
      </w:r>
    </w:p>
    <w:p w:rsidR="00C94603" w:rsidRPr="00E141EC" w:rsidRDefault="00C94603" w:rsidP="00C94603">
      <w:pPr>
        <w:spacing w:before="100" w:beforeAutospacing="1" w:after="240" w:line="360" w:lineRule="auto"/>
        <w:jc w:val="both"/>
        <w:rPr>
          <w:rFonts w:ascii="Book Antiqua" w:hAnsi="Book Antiqua" w:cs="Arial"/>
          <w:i/>
          <w:sz w:val="24"/>
          <w:szCs w:val="24"/>
          <w:lang w:eastAsia="es-CO"/>
        </w:rPr>
      </w:pPr>
      <w:r w:rsidRPr="00E141EC">
        <w:rPr>
          <w:rFonts w:ascii="Book Antiqua" w:hAnsi="Book Antiqua" w:cs="Arial"/>
          <w:i/>
          <w:sz w:val="24"/>
          <w:szCs w:val="24"/>
          <w:lang w:eastAsia="es-CO"/>
        </w:rPr>
        <w:t>Del presupuesto de inversión, se destina el 48,7 % a programas de adquisición de equipos, suministros y servicios para la Rama. El 24,8% se destina al programa de construcción de infraestructura, mejoramiento, mantenimiento y dotación. También tenemos que tener en cuenta divulgación, asistencia técnica y capacitación del recurso humano, protección y bienestar social, investigación, control y organización institucional, entre otros.</w:t>
      </w:r>
    </w:p>
    <w:p w:rsidR="00E27BB9" w:rsidRDefault="009E0335" w:rsidP="009E0335">
      <w:pPr>
        <w:spacing w:line="360" w:lineRule="auto"/>
        <w:jc w:val="both"/>
        <w:rPr>
          <w:rFonts w:ascii="Book Antiqua" w:hAnsi="Book Antiqua"/>
          <w:sz w:val="24"/>
          <w:szCs w:val="24"/>
          <w:lang w:val="es-CO"/>
        </w:rPr>
      </w:pPr>
      <w:r>
        <w:rPr>
          <w:rFonts w:ascii="Book Antiqua" w:hAnsi="Book Antiqua"/>
          <w:color w:val="000000"/>
          <w:sz w:val="24"/>
          <w:szCs w:val="24"/>
        </w:rPr>
        <w:t>Entonces,</w:t>
      </w:r>
      <w:r w:rsidR="00591A2C">
        <w:rPr>
          <w:rFonts w:ascii="Book Antiqua" w:hAnsi="Book Antiqua"/>
          <w:color w:val="000000"/>
          <w:sz w:val="24"/>
          <w:szCs w:val="24"/>
        </w:rPr>
        <w:t xml:space="preserve"> </w:t>
      </w:r>
      <w:r>
        <w:rPr>
          <w:rFonts w:ascii="Book Antiqua" w:hAnsi="Book Antiqua"/>
          <w:sz w:val="24"/>
          <w:szCs w:val="24"/>
          <w:lang w:val="es-CO"/>
        </w:rPr>
        <w:t>p</w:t>
      </w:r>
      <w:r w:rsidRPr="00E141EC">
        <w:rPr>
          <w:rFonts w:ascii="Book Antiqua" w:hAnsi="Book Antiqua"/>
          <w:sz w:val="24"/>
          <w:szCs w:val="24"/>
          <w:lang w:val="es-CO"/>
        </w:rPr>
        <w:t>ara la dotación adecuada de las condiciones materiales, tecnológicas y la formación del talento humano, se requiere una inversión de recursos que</w:t>
      </w:r>
      <w:r w:rsidR="00CA27F3">
        <w:rPr>
          <w:rFonts w:ascii="Book Antiqua" w:hAnsi="Book Antiqua"/>
          <w:sz w:val="24"/>
          <w:szCs w:val="24"/>
          <w:lang w:val="es-CO"/>
        </w:rPr>
        <w:t>,</w:t>
      </w:r>
      <w:r w:rsidRPr="00E141EC">
        <w:rPr>
          <w:rFonts w:ascii="Book Antiqua" w:hAnsi="Book Antiqua"/>
          <w:sz w:val="24"/>
          <w:szCs w:val="24"/>
          <w:lang w:val="es-CO"/>
        </w:rPr>
        <w:t xml:space="preserve"> según el Consejo Superior de Judicatura en su Acuerdo </w:t>
      </w:r>
      <w:r w:rsidR="00E27BB9">
        <w:rPr>
          <w:rFonts w:ascii="Book Antiqua" w:hAnsi="Book Antiqua"/>
          <w:sz w:val="24"/>
          <w:szCs w:val="24"/>
          <w:lang w:val="es-CO"/>
        </w:rPr>
        <w:t xml:space="preserve">No. </w:t>
      </w:r>
      <w:r w:rsidRPr="00E141EC">
        <w:rPr>
          <w:rFonts w:ascii="Book Antiqua" w:hAnsi="Book Antiqua"/>
          <w:sz w:val="24"/>
          <w:szCs w:val="24"/>
          <w:lang w:val="es-CO"/>
        </w:rPr>
        <w:t xml:space="preserve">PSAA14-10155 del 28 de mayo de 2014, por medio del cual se suspendió el cronograma de implementación de la oralidad, “no se han apropiado por el Gobierno Nacional”, en su momento ni siquiera para financiar las medidas de descongestión, indispensables para ingresar  un sistema oral que no empiece a funcionar congestionado. </w:t>
      </w:r>
    </w:p>
    <w:p w:rsidR="00B85944" w:rsidRPr="00E141EC" w:rsidRDefault="00B85944" w:rsidP="00B85944">
      <w:pPr>
        <w:spacing w:line="360" w:lineRule="auto"/>
        <w:jc w:val="both"/>
        <w:rPr>
          <w:rFonts w:ascii="Book Antiqua" w:hAnsi="Book Antiqua"/>
          <w:sz w:val="24"/>
          <w:szCs w:val="24"/>
          <w:lang w:val="es-CO"/>
        </w:rPr>
      </w:pPr>
      <w:r w:rsidRPr="00E141EC">
        <w:rPr>
          <w:rFonts w:ascii="Book Antiqua" w:hAnsi="Book Antiqua"/>
          <w:sz w:val="24"/>
          <w:szCs w:val="24"/>
          <w:lang w:val="es-CO"/>
        </w:rPr>
        <w:t xml:space="preserve">Los objetivos que inspiran la apertura hacia la oralidad, se orientan a resolver los problemas álgidos de la administración de justicia, </w:t>
      </w:r>
      <w:r w:rsidR="00A2730F">
        <w:rPr>
          <w:rFonts w:ascii="Book Antiqua" w:hAnsi="Book Antiqua"/>
          <w:sz w:val="24"/>
          <w:szCs w:val="24"/>
          <w:lang w:val="es-CO"/>
        </w:rPr>
        <w:t>siendo los siguientes</w:t>
      </w:r>
      <w:r w:rsidRPr="00E141EC">
        <w:rPr>
          <w:rFonts w:ascii="Book Antiqua" w:hAnsi="Book Antiqua"/>
          <w:sz w:val="24"/>
          <w:szCs w:val="24"/>
          <w:lang w:val="es-CO"/>
        </w:rPr>
        <w:t>: la congestión,</w:t>
      </w:r>
      <w:r w:rsidR="00D46EBD">
        <w:rPr>
          <w:rFonts w:ascii="Book Antiqua" w:hAnsi="Book Antiqua"/>
          <w:sz w:val="24"/>
          <w:szCs w:val="24"/>
          <w:lang w:val="es-CO"/>
        </w:rPr>
        <w:t xml:space="preserve"> </w:t>
      </w:r>
      <w:r w:rsidRPr="00B85944">
        <w:rPr>
          <w:rFonts w:ascii="Book Antiqua" w:hAnsi="Book Antiqua"/>
          <w:sz w:val="24"/>
          <w:szCs w:val="24"/>
          <w:lang w:val="es-CO"/>
        </w:rPr>
        <w:t>inmediación, publicidad, concentración,</w:t>
      </w:r>
      <w:r w:rsidRPr="00E141EC">
        <w:rPr>
          <w:rFonts w:ascii="Book Antiqua" w:hAnsi="Book Antiqua"/>
          <w:sz w:val="24"/>
          <w:szCs w:val="24"/>
          <w:lang w:val="es-CO"/>
        </w:rPr>
        <w:t xml:space="preserve"> la mora, la impunidad y a reducir los tiempos de respuesta para el usuario de la Justicia. A la par y con el cambio del modelo de gestión, se propone modernizar la infraestructura tecnológica y el acceso a la administración de Justicia.</w:t>
      </w:r>
    </w:p>
    <w:p w:rsidR="00B85944" w:rsidRPr="00E141EC" w:rsidRDefault="00B85944" w:rsidP="00B85944">
      <w:pPr>
        <w:spacing w:line="360" w:lineRule="auto"/>
        <w:jc w:val="both"/>
        <w:rPr>
          <w:rFonts w:ascii="Book Antiqua" w:hAnsi="Book Antiqua"/>
          <w:sz w:val="24"/>
          <w:szCs w:val="24"/>
          <w:lang w:val="es-CO"/>
        </w:rPr>
      </w:pPr>
      <w:r w:rsidRPr="00E141EC">
        <w:rPr>
          <w:rFonts w:ascii="Book Antiqua" w:hAnsi="Book Antiqua"/>
          <w:sz w:val="24"/>
          <w:szCs w:val="24"/>
          <w:lang w:val="es-CO"/>
        </w:rPr>
        <w:t>La implementación de la oralidad, en consecuencia, supone la existencia de una infraestructura física, tecnol</w:t>
      </w:r>
      <w:r w:rsidR="0095036D">
        <w:rPr>
          <w:rFonts w:ascii="Book Antiqua" w:hAnsi="Book Antiqua"/>
          <w:sz w:val="24"/>
          <w:szCs w:val="24"/>
          <w:lang w:val="es-CO"/>
        </w:rPr>
        <w:t>ó</w:t>
      </w:r>
      <w:r w:rsidRPr="00E141EC">
        <w:rPr>
          <w:rFonts w:ascii="Book Antiqua" w:hAnsi="Book Antiqua"/>
          <w:sz w:val="24"/>
          <w:szCs w:val="24"/>
          <w:lang w:val="es-CO"/>
        </w:rPr>
        <w:t>g</w:t>
      </w:r>
      <w:r w:rsidR="0095036D">
        <w:rPr>
          <w:rFonts w:ascii="Book Antiqua" w:hAnsi="Book Antiqua"/>
          <w:sz w:val="24"/>
          <w:szCs w:val="24"/>
          <w:lang w:val="es-CO"/>
        </w:rPr>
        <w:t>ica</w:t>
      </w:r>
      <w:r w:rsidRPr="00E141EC">
        <w:rPr>
          <w:rFonts w:ascii="Book Antiqua" w:hAnsi="Book Antiqua"/>
          <w:sz w:val="24"/>
          <w:szCs w:val="24"/>
          <w:lang w:val="es-CO"/>
        </w:rPr>
        <w:t xml:space="preserve"> y</w:t>
      </w:r>
      <w:r w:rsidR="0095036D">
        <w:rPr>
          <w:rFonts w:ascii="Book Antiqua" w:hAnsi="Book Antiqua"/>
          <w:sz w:val="24"/>
          <w:szCs w:val="24"/>
          <w:lang w:val="es-CO"/>
        </w:rPr>
        <w:t xml:space="preserve"> de </w:t>
      </w:r>
      <w:r w:rsidRPr="00E141EC">
        <w:rPr>
          <w:rFonts w:ascii="Book Antiqua" w:hAnsi="Book Antiqua"/>
          <w:sz w:val="24"/>
          <w:szCs w:val="24"/>
          <w:lang w:val="es-CO"/>
        </w:rPr>
        <w:t xml:space="preserve">un proceso sólido de formación de los servidores públicos y de los abogados litigantes, que les permitan adecuar su </w:t>
      </w:r>
      <w:r w:rsidRPr="00E141EC">
        <w:rPr>
          <w:rFonts w:ascii="Book Antiqua" w:hAnsi="Book Antiqua"/>
          <w:sz w:val="24"/>
          <w:szCs w:val="24"/>
          <w:lang w:val="es-CO"/>
        </w:rPr>
        <w:lastRenderedPageBreak/>
        <w:t>quehacer a la nueva normatividad, condiciones de trabajo y al modelo de gestión.</w:t>
      </w:r>
    </w:p>
    <w:p w:rsidR="00730191" w:rsidRPr="00E141EC" w:rsidRDefault="00B85944" w:rsidP="00B85944">
      <w:pPr>
        <w:spacing w:line="360" w:lineRule="auto"/>
        <w:jc w:val="both"/>
        <w:rPr>
          <w:rFonts w:ascii="Book Antiqua" w:hAnsi="Book Antiqua"/>
          <w:sz w:val="24"/>
          <w:szCs w:val="24"/>
          <w:lang w:val="es-CO"/>
        </w:rPr>
      </w:pPr>
      <w:r w:rsidRPr="00E141EC">
        <w:rPr>
          <w:rFonts w:ascii="Book Antiqua" w:hAnsi="Book Antiqua"/>
          <w:sz w:val="24"/>
          <w:szCs w:val="24"/>
          <w:lang w:val="es-CO"/>
        </w:rPr>
        <w:t xml:space="preserve">Para la dotación adecuada de las condiciones materiales, tecnológicas y la formación del talento humano, se requiere una inversión de recursos </w:t>
      </w:r>
      <w:r w:rsidRPr="00B85944">
        <w:rPr>
          <w:rFonts w:ascii="Book Antiqua" w:hAnsi="Book Antiqua"/>
          <w:sz w:val="24"/>
          <w:szCs w:val="24"/>
          <w:lang w:val="es-CO"/>
        </w:rPr>
        <w:t>que,</w:t>
      </w:r>
      <w:r w:rsidRPr="00E141EC">
        <w:rPr>
          <w:rFonts w:ascii="Book Antiqua" w:hAnsi="Book Antiqua"/>
          <w:sz w:val="24"/>
          <w:szCs w:val="24"/>
          <w:lang w:val="es-CO"/>
        </w:rPr>
        <w:t xml:space="preserve"> según el Consejo Superior de </w:t>
      </w:r>
      <w:r w:rsidRPr="00B85944">
        <w:rPr>
          <w:rFonts w:ascii="Book Antiqua" w:hAnsi="Book Antiqua"/>
          <w:sz w:val="24"/>
          <w:szCs w:val="24"/>
          <w:lang w:val="es-CO"/>
        </w:rPr>
        <w:t>Judicatura,</w:t>
      </w:r>
      <w:r w:rsidRPr="00E141EC">
        <w:rPr>
          <w:rFonts w:ascii="Book Antiqua" w:hAnsi="Book Antiqua"/>
          <w:sz w:val="24"/>
          <w:szCs w:val="24"/>
          <w:lang w:val="es-CO"/>
        </w:rPr>
        <w:t xml:space="preserve"> en su Acuerdo </w:t>
      </w:r>
      <w:r>
        <w:rPr>
          <w:rFonts w:ascii="Book Antiqua" w:hAnsi="Book Antiqua"/>
          <w:sz w:val="24"/>
          <w:szCs w:val="24"/>
          <w:lang w:val="es-CO"/>
        </w:rPr>
        <w:t xml:space="preserve">No. </w:t>
      </w:r>
      <w:r w:rsidRPr="00E141EC">
        <w:rPr>
          <w:rFonts w:ascii="Book Antiqua" w:hAnsi="Book Antiqua"/>
          <w:sz w:val="24"/>
          <w:szCs w:val="24"/>
          <w:lang w:val="es-CO"/>
        </w:rPr>
        <w:t>PSAA14-10155 del 28 de mayo de 2014</w:t>
      </w:r>
      <w:r w:rsidR="0095036D">
        <w:rPr>
          <w:rStyle w:val="Refdenotaalpie"/>
          <w:rFonts w:ascii="Book Antiqua" w:hAnsi="Book Antiqua"/>
          <w:sz w:val="24"/>
          <w:szCs w:val="24"/>
          <w:lang w:val="es-CO"/>
        </w:rPr>
        <w:footnoteReference w:id="3"/>
      </w:r>
      <w:r w:rsidRPr="00E141EC">
        <w:rPr>
          <w:rFonts w:ascii="Book Antiqua" w:hAnsi="Book Antiqua"/>
          <w:sz w:val="24"/>
          <w:szCs w:val="24"/>
          <w:lang w:val="es-CO"/>
        </w:rPr>
        <w:t xml:space="preserve">, por medio del </w:t>
      </w:r>
      <w:r w:rsidRPr="00B85944">
        <w:rPr>
          <w:rFonts w:ascii="Book Antiqua" w:hAnsi="Book Antiqua"/>
          <w:sz w:val="24"/>
          <w:szCs w:val="24"/>
          <w:lang w:val="es-CO"/>
        </w:rPr>
        <w:t xml:space="preserve">cual </w:t>
      </w:r>
      <w:r w:rsidRPr="00CE7EB6">
        <w:rPr>
          <w:rFonts w:ascii="Book Antiqua" w:hAnsi="Book Antiqua"/>
          <w:sz w:val="24"/>
          <w:szCs w:val="24"/>
          <w:lang w:val="es-CO"/>
        </w:rPr>
        <w:t>se</w:t>
      </w:r>
      <w:r w:rsidRPr="00E141EC">
        <w:rPr>
          <w:rFonts w:ascii="Book Antiqua" w:hAnsi="Book Antiqua"/>
          <w:sz w:val="24"/>
          <w:szCs w:val="24"/>
          <w:lang w:val="es-CO"/>
        </w:rPr>
        <w:t xml:space="preserve"> suspendió el cronograma de implementación de la oralidad, “no se han apropiado por el Gobierno Nacional”, en su momento ni siquiera para financiar las medidas de descongestión, indispensables para ingresar un sistema oral que no empiece a funcionar congestionado. Implementar la oralidad exige en principio la materialización de las metas de descongestión, que en ciudades como Bogotá y en los diez Distritos Judiciales</w:t>
      </w:r>
      <w:r w:rsidR="009F5585">
        <w:rPr>
          <w:rFonts w:ascii="Book Antiqua" w:hAnsi="Book Antiqua"/>
          <w:sz w:val="24"/>
          <w:szCs w:val="24"/>
          <w:lang w:val="es-CO"/>
        </w:rPr>
        <w:t>: Antioquia, Buga, Cundinamarca, Ibagué, Mocoa, Neiva,</w:t>
      </w:r>
      <w:r w:rsidR="00D46EBD">
        <w:rPr>
          <w:rFonts w:ascii="Book Antiqua" w:hAnsi="Book Antiqua"/>
          <w:sz w:val="24"/>
          <w:szCs w:val="24"/>
          <w:lang w:val="es-CO"/>
        </w:rPr>
        <w:t xml:space="preserve"> </w:t>
      </w:r>
      <w:r w:rsidR="009F5585">
        <w:rPr>
          <w:rFonts w:ascii="Book Antiqua" w:hAnsi="Book Antiqua"/>
          <w:sz w:val="24"/>
          <w:szCs w:val="24"/>
          <w:lang w:val="es-CO"/>
        </w:rPr>
        <w:t xml:space="preserve">Pasto, Quibdó, Villavicencio y Yopal, </w:t>
      </w:r>
      <w:r w:rsidRPr="00E141EC">
        <w:rPr>
          <w:rFonts w:ascii="Book Antiqua" w:hAnsi="Book Antiqua"/>
          <w:sz w:val="24"/>
          <w:szCs w:val="24"/>
          <w:lang w:val="es-CO"/>
        </w:rPr>
        <w:t>en donde aún no arranca el proceso bajo el régimen de la ley 1395 de 2010</w:t>
      </w:r>
      <w:r w:rsidR="00730191">
        <w:rPr>
          <w:rFonts w:ascii="Book Antiqua" w:hAnsi="Book Antiqua"/>
          <w:sz w:val="24"/>
          <w:szCs w:val="24"/>
          <w:lang w:val="es-CO"/>
        </w:rPr>
        <w:t>.</w:t>
      </w:r>
    </w:p>
    <w:p w:rsidR="00591A2C" w:rsidRDefault="009E0335" w:rsidP="00B85944">
      <w:pPr>
        <w:spacing w:line="360" w:lineRule="auto"/>
        <w:jc w:val="both"/>
        <w:rPr>
          <w:rFonts w:ascii="Book Antiqua" w:hAnsi="Book Antiqua"/>
          <w:sz w:val="24"/>
          <w:szCs w:val="24"/>
          <w:lang w:val="es-CO"/>
        </w:rPr>
      </w:pPr>
      <w:r w:rsidRPr="00E141EC">
        <w:rPr>
          <w:rFonts w:ascii="Book Antiqua" w:hAnsi="Book Antiqua"/>
          <w:sz w:val="24"/>
          <w:szCs w:val="24"/>
          <w:lang w:val="es-CO"/>
        </w:rPr>
        <w:t xml:space="preserve">Requiere igualmente contar con una infraestructura física de salas de audiencias que tampoco están a disposición de los Jueces y Tribunales, a manera de ejemplo se observa que en el Edificio de los Tribunales de Bogotá y Cundinamarca, se cuenta con 15 salas para 120 Magistrados; </w:t>
      </w:r>
      <w:r w:rsidR="00591A2C">
        <w:rPr>
          <w:rFonts w:ascii="Book Antiqua" w:hAnsi="Book Antiqua"/>
          <w:sz w:val="24"/>
          <w:szCs w:val="24"/>
          <w:lang w:val="es-CO"/>
        </w:rPr>
        <w:t xml:space="preserve">inicialmente no ingresaron al sistema </w:t>
      </w:r>
      <w:r w:rsidRPr="00E141EC">
        <w:rPr>
          <w:rFonts w:ascii="Book Antiqua" w:hAnsi="Book Antiqua"/>
          <w:sz w:val="24"/>
          <w:szCs w:val="24"/>
          <w:lang w:val="es-CO"/>
        </w:rPr>
        <w:t>10 Juzgados de Familia</w:t>
      </w:r>
      <w:r w:rsidR="00591A2C">
        <w:rPr>
          <w:rFonts w:ascii="Book Antiqua" w:hAnsi="Book Antiqua"/>
          <w:sz w:val="24"/>
          <w:szCs w:val="24"/>
          <w:lang w:val="es-CO"/>
        </w:rPr>
        <w:t xml:space="preserve"> que d</w:t>
      </w:r>
      <w:r w:rsidRPr="00E141EC">
        <w:rPr>
          <w:rFonts w:ascii="Book Antiqua" w:hAnsi="Book Antiqua"/>
          <w:sz w:val="24"/>
          <w:szCs w:val="24"/>
          <w:lang w:val="es-CO"/>
        </w:rPr>
        <w:t xml:space="preserve">isponen de cinco salas, </w:t>
      </w:r>
      <w:r>
        <w:rPr>
          <w:rFonts w:ascii="Book Antiqua" w:hAnsi="Book Antiqua"/>
          <w:sz w:val="24"/>
          <w:szCs w:val="24"/>
          <w:lang w:val="es-CO"/>
        </w:rPr>
        <w:t>y si bien 10 jueces civiles del circuito y 44 civiles municipales</w:t>
      </w:r>
      <w:r w:rsidR="000C79F5">
        <w:rPr>
          <w:rFonts w:ascii="Book Antiqua" w:hAnsi="Book Antiqua"/>
          <w:sz w:val="24"/>
          <w:szCs w:val="24"/>
          <w:lang w:val="es-CO"/>
        </w:rPr>
        <w:t xml:space="preserve"> tienen asignadas alrededor de 4</w:t>
      </w:r>
      <w:r>
        <w:rPr>
          <w:rFonts w:ascii="Book Antiqua" w:hAnsi="Book Antiqua"/>
          <w:sz w:val="24"/>
          <w:szCs w:val="24"/>
          <w:lang w:val="es-CO"/>
        </w:rPr>
        <w:t>0 salas,</w:t>
      </w:r>
      <w:r w:rsidRPr="00E141EC">
        <w:rPr>
          <w:rFonts w:ascii="Book Antiqua" w:hAnsi="Book Antiqua"/>
          <w:sz w:val="24"/>
          <w:szCs w:val="24"/>
          <w:lang w:val="es-CO"/>
        </w:rPr>
        <w:t xml:space="preserve">  </w:t>
      </w:r>
      <w:r w:rsidR="00591A2C">
        <w:rPr>
          <w:rFonts w:ascii="Book Antiqua" w:hAnsi="Book Antiqua"/>
          <w:sz w:val="24"/>
          <w:szCs w:val="24"/>
          <w:lang w:val="es-CO"/>
        </w:rPr>
        <w:t xml:space="preserve">el </w:t>
      </w:r>
      <w:r w:rsidRPr="00E141EC">
        <w:rPr>
          <w:rFonts w:ascii="Book Antiqua" w:hAnsi="Book Antiqua"/>
          <w:sz w:val="24"/>
          <w:szCs w:val="24"/>
          <w:lang w:val="es-CO"/>
        </w:rPr>
        <w:t xml:space="preserve"> resu</w:t>
      </w:r>
      <w:r w:rsidR="000C79F5">
        <w:rPr>
          <w:rFonts w:ascii="Book Antiqua" w:hAnsi="Book Antiqua"/>
          <w:sz w:val="24"/>
          <w:szCs w:val="24"/>
          <w:lang w:val="es-CO"/>
        </w:rPr>
        <w:t xml:space="preserve">ltado de congestión </w:t>
      </w:r>
      <w:r w:rsidR="00591A2C">
        <w:rPr>
          <w:rFonts w:ascii="Book Antiqua" w:hAnsi="Book Antiqua"/>
          <w:sz w:val="24"/>
          <w:szCs w:val="24"/>
          <w:lang w:val="es-CO"/>
        </w:rPr>
        <w:t xml:space="preserve"> fue </w:t>
      </w:r>
      <w:r w:rsidR="000C79F5">
        <w:rPr>
          <w:rFonts w:ascii="Book Antiqua" w:hAnsi="Book Antiqua"/>
          <w:sz w:val="24"/>
          <w:szCs w:val="24"/>
          <w:lang w:val="es-CO"/>
        </w:rPr>
        <w:t>evidente</w:t>
      </w:r>
      <w:r w:rsidRPr="00E141EC">
        <w:rPr>
          <w:rFonts w:ascii="Book Antiqua" w:hAnsi="Book Antiqua"/>
          <w:sz w:val="24"/>
          <w:szCs w:val="24"/>
          <w:lang w:val="es-CO"/>
        </w:rPr>
        <w:t xml:space="preserve"> entre marzo y julio de 2015</w:t>
      </w:r>
      <w:r w:rsidR="007422A0">
        <w:rPr>
          <w:rFonts w:ascii="Book Antiqua" w:hAnsi="Book Antiqua"/>
          <w:sz w:val="24"/>
          <w:szCs w:val="24"/>
          <w:lang w:val="es-CO"/>
        </w:rPr>
        <w:t xml:space="preserve">, por lo que se expidió el </w:t>
      </w:r>
      <w:r w:rsidR="00591A2C">
        <w:rPr>
          <w:rFonts w:ascii="Book Antiqua" w:hAnsi="Book Antiqua"/>
          <w:sz w:val="24"/>
          <w:szCs w:val="24"/>
          <w:lang w:val="es-CO"/>
        </w:rPr>
        <w:t>Acuerdo No. PSAA15-10373 de</w:t>
      </w:r>
      <w:r w:rsidR="007422A0">
        <w:rPr>
          <w:rFonts w:ascii="Book Antiqua" w:hAnsi="Book Antiqua"/>
          <w:sz w:val="24"/>
          <w:szCs w:val="24"/>
          <w:lang w:val="es-CO"/>
        </w:rPr>
        <w:t xml:space="preserve"> julio 31 de</w:t>
      </w:r>
      <w:r w:rsidR="00591A2C">
        <w:rPr>
          <w:rFonts w:ascii="Book Antiqua" w:hAnsi="Book Antiqua"/>
          <w:sz w:val="24"/>
          <w:szCs w:val="24"/>
          <w:lang w:val="es-CO"/>
        </w:rPr>
        <w:t xml:space="preserve"> 2015 que incorporó todos los Juzgados  Civiles Municipales, Civiles del Circuito, y de Familia del Distrito Judicial de Bogotá al sistema procesal oral de la Ley 1395 de 2010, lo que no soluciona la problemática de congestión y en cambio la agrava  al punto de colapsar</w:t>
      </w:r>
      <w:r w:rsidR="007422A0">
        <w:rPr>
          <w:rFonts w:ascii="Book Antiqua" w:hAnsi="Book Antiqua"/>
          <w:sz w:val="24"/>
          <w:szCs w:val="24"/>
          <w:lang w:val="es-CO"/>
        </w:rPr>
        <w:t>, ya que no se adecuan ninguna sala de audiencias adicional con los requerimientos técnicos y planteándose como solución  solo el suministro de unos equipos de grabación p</w:t>
      </w:r>
      <w:r w:rsidR="00A00B05">
        <w:rPr>
          <w:rFonts w:ascii="Book Antiqua" w:hAnsi="Book Antiqua"/>
          <w:sz w:val="24"/>
          <w:szCs w:val="24"/>
          <w:lang w:val="es-CO"/>
        </w:rPr>
        <w:t>o</w:t>
      </w:r>
      <w:r w:rsidR="007422A0">
        <w:rPr>
          <w:rFonts w:ascii="Book Antiqua" w:hAnsi="Book Antiqua"/>
          <w:sz w:val="24"/>
          <w:szCs w:val="24"/>
          <w:lang w:val="es-CO"/>
        </w:rPr>
        <w:t>rt</w:t>
      </w:r>
      <w:r w:rsidR="00A00B05">
        <w:rPr>
          <w:rFonts w:ascii="Book Antiqua" w:hAnsi="Book Antiqua"/>
          <w:sz w:val="24"/>
          <w:szCs w:val="24"/>
          <w:lang w:val="es-CO"/>
        </w:rPr>
        <w:t>á</w:t>
      </w:r>
      <w:r w:rsidR="007422A0">
        <w:rPr>
          <w:rFonts w:ascii="Book Antiqua" w:hAnsi="Book Antiqua"/>
          <w:sz w:val="24"/>
          <w:szCs w:val="24"/>
          <w:lang w:val="es-CO"/>
        </w:rPr>
        <w:t xml:space="preserve">til.  </w:t>
      </w:r>
      <w:r w:rsidR="00591A2C">
        <w:rPr>
          <w:rFonts w:ascii="Book Antiqua" w:hAnsi="Book Antiqua"/>
          <w:sz w:val="24"/>
          <w:szCs w:val="24"/>
          <w:lang w:val="es-CO"/>
        </w:rPr>
        <w:t xml:space="preserve">        </w:t>
      </w:r>
    </w:p>
    <w:p w:rsidR="00CF60B7" w:rsidRDefault="00D14370" w:rsidP="00B85944">
      <w:pPr>
        <w:spacing w:line="360" w:lineRule="auto"/>
        <w:jc w:val="both"/>
        <w:rPr>
          <w:rFonts w:ascii="Book Antiqua" w:hAnsi="Book Antiqua"/>
          <w:sz w:val="24"/>
          <w:szCs w:val="24"/>
          <w:lang w:val="es-CO"/>
        </w:rPr>
      </w:pPr>
      <w:r>
        <w:rPr>
          <w:rFonts w:ascii="Book Antiqua" w:hAnsi="Book Antiqua"/>
          <w:sz w:val="24"/>
          <w:szCs w:val="24"/>
          <w:lang w:val="es-CO"/>
        </w:rPr>
        <w:t xml:space="preserve">Además, </w:t>
      </w:r>
      <w:r w:rsidR="00CF60B7">
        <w:rPr>
          <w:rFonts w:ascii="Book Antiqua" w:hAnsi="Book Antiqua"/>
          <w:sz w:val="24"/>
          <w:szCs w:val="24"/>
          <w:lang w:val="es-CO"/>
        </w:rPr>
        <w:t>En efecto, los procesos de traslados de expedientes, ha sido complejo  pues no existen los mecanismos idóneos, lo que ha repercutido</w:t>
      </w:r>
      <w:r w:rsidR="00816F22">
        <w:rPr>
          <w:rFonts w:ascii="Book Antiqua" w:hAnsi="Book Antiqua"/>
          <w:sz w:val="24"/>
          <w:szCs w:val="24"/>
          <w:lang w:val="es-CO"/>
        </w:rPr>
        <w:t xml:space="preserve"> de manera adversa en la prestación del servicio público de Administración de Justicia pues </w:t>
      </w:r>
      <w:r w:rsidR="00816F22">
        <w:rPr>
          <w:rFonts w:ascii="Book Antiqua" w:hAnsi="Book Antiqua"/>
          <w:sz w:val="24"/>
          <w:szCs w:val="24"/>
          <w:lang w:val="es-CO"/>
        </w:rPr>
        <w:lastRenderedPageBreak/>
        <w:t xml:space="preserve">el usuario se ha visto </w:t>
      </w:r>
      <w:r w:rsidR="004B54E9">
        <w:rPr>
          <w:rFonts w:ascii="Book Antiqua" w:hAnsi="Book Antiqua"/>
          <w:sz w:val="24"/>
          <w:szCs w:val="24"/>
          <w:lang w:val="es-CO"/>
        </w:rPr>
        <w:t xml:space="preserve">gravemente </w:t>
      </w:r>
      <w:r w:rsidR="00816F22">
        <w:rPr>
          <w:rFonts w:ascii="Book Antiqua" w:hAnsi="Book Antiqua"/>
          <w:sz w:val="24"/>
          <w:szCs w:val="24"/>
          <w:lang w:val="es-CO"/>
        </w:rPr>
        <w:t>afectado por la incertidumbre del destino y trámite de su proceso, en aspectos</w:t>
      </w:r>
      <w:r w:rsidR="004B54E9">
        <w:rPr>
          <w:rFonts w:ascii="Book Antiqua" w:hAnsi="Book Antiqua"/>
          <w:sz w:val="24"/>
          <w:szCs w:val="24"/>
          <w:lang w:val="es-CO"/>
        </w:rPr>
        <w:t xml:space="preserve"> álgidos como los depósitos judiciales. Adicionalmente, registra con honda preocupación el que se haya dispuesto  que los </w:t>
      </w:r>
      <w:r w:rsidR="00816F22">
        <w:rPr>
          <w:rFonts w:ascii="Book Antiqua" w:hAnsi="Book Antiqua"/>
          <w:sz w:val="24"/>
          <w:szCs w:val="24"/>
          <w:lang w:val="es-CO"/>
        </w:rPr>
        <w:t xml:space="preserve">expedientes de 34 Juzgados Civiles  del Circuito que </w:t>
      </w:r>
      <w:r w:rsidR="004B54E9">
        <w:rPr>
          <w:rFonts w:ascii="Book Antiqua" w:hAnsi="Book Antiqua"/>
          <w:sz w:val="24"/>
          <w:szCs w:val="24"/>
          <w:lang w:val="es-CO"/>
        </w:rPr>
        <w:t xml:space="preserve">quedan en sistema escritural sean repartidos a tan solo 5 Juzgados de Descongestión que se crearon por un mes, sin tener certeza de que se prorroguen. </w:t>
      </w:r>
      <w:r w:rsidR="00816F22">
        <w:rPr>
          <w:rFonts w:ascii="Book Antiqua" w:hAnsi="Book Antiqua"/>
          <w:sz w:val="24"/>
          <w:szCs w:val="24"/>
          <w:lang w:val="es-CO"/>
        </w:rPr>
        <w:t xml:space="preserve">          </w:t>
      </w:r>
      <w:r w:rsidR="00CF60B7">
        <w:rPr>
          <w:rFonts w:ascii="Book Antiqua" w:hAnsi="Book Antiqua"/>
          <w:sz w:val="24"/>
          <w:szCs w:val="24"/>
          <w:lang w:val="es-CO"/>
        </w:rPr>
        <w:t xml:space="preserve"> </w:t>
      </w:r>
    </w:p>
    <w:p w:rsidR="006959C1" w:rsidRPr="00E141EC" w:rsidRDefault="00155DFC" w:rsidP="006959C1">
      <w:pPr>
        <w:spacing w:line="360" w:lineRule="auto"/>
        <w:jc w:val="both"/>
        <w:rPr>
          <w:rFonts w:ascii="Book Antiqua" w:hAnsi="Book Antiqua"/>
          <w:sz w:val="24"/>
          <w:szCs w:val="24"/>
          <w:lang w:val="es-CO"/>
        </w:rPr>
      </w:pPr>
      <w:r>
        <w:rPr>
          <w:rFonts w:ascii="Book Antiqua" w:hAnsi="Book Antiqua"/>
          <w:sz w:val="24"/>
          <w:szCs w:val="24"/>
          <w:lang w:val="es-CO"/>
        </w:rPr>
        <w:t>El</w:t>
      </w:r>
      <w:r w:rsidR="006959C1" w:rsidRPr="00E141EC">
        <w:rPr>
          <w:rFonts w:ascii="Book Antiqua" w:hAnsi="Book Antiqua"/>
          <w:sz w:val="24"/>
          <w:szCs w:val="24"/>
          <w:lang w:val="es-CO"/>
        </w:rPr>
        <w:t xml:space="preserve"> programa de gestión </w:t>
      </w:r>
      <w:r w:rsidR="00063546">
        <w:rPr>
          <w:rFonts w:ascii="Book Antiqua" w:hAnsi="Book Antiqua"/>
          <w:sz w:val="24"/>
          <w:szCs w:val="24"/>
          <w:lang w:val="es-CO"/>
        </w:rPr>
        <w:t>S</w:t>
      </w:r>
      <w:r w:rsidR="006959C1" w:rsidRPr="00E141EC">
        <w:rPr>
          <w:rFonts w:ascii="Book Antiqua" w:hAnsi="Book Antiqua"/>
          <w:sz w:val="24"/>
          <w:szCs w:val="24"/>
          <w:lang w:val="es-CO"/>
        </w:rPr>
        <w:t xml:space="preserve">iglo XXI no es uniforme. En efecto son tres programas diferentes con  lenguajes  igualmente diversos, donde además existen varios Despachos que no cuentan con esta implementación, con la circunstancia adicional que por lo obsoleto de la programación, a diario se reportan fallas, como bien sucede con la eliminación de la información ya alimentada y las consecuencias jurídicas que de ello se causan, incluyendo el </w:t>
      </w:r>
      <w:r w:rsidR="006959C1" w:rsidRPr="006959C1">
        <w:rPr>
          <w:rFonts w:ascii="Book Antiqua" w:hAnsi="Book Antiqua"/>
          <w:sz w:val="24"/>
          <w:szCs w:val="24"/>
          <w:lang w:val="es-CO"/>
        </w:rPr>
        <w:t>malestar de los usuarios</w:t>
      </w:r>
      <w:r w:rsidR="006959C1" w:rsidRPr="00E141EC">
        <w:rPr>
          <w:rFonts w:ascii="Book Antiqua" w:hAnsi="Book Antiqua"/>
          <w:sz w:val="24"/>
          <w:szCs w:val="24"/>
          <w:lang w:val="es-CO"/>
        </w:rPr>
        <w:t xml:space="preserve"> y sus abogados.</w:t>
      </w:r>
    </w:p>
    <w:p w:rsidR="009E0335" w:rsidRPr="00E141EC" w:rsidRDefault="009E0335" w:rsidP="009E0335">
      <w:pPr>
        <w:spacing w:line="360" w:lineRule="auto"/>
        <w:jc w:val="both"/>
        <w:rPr>
          <w:rFonts w:ascii="Book Antiqua" w:hAnsi="Book Antiqua"/>
          <w:sz w:val="24"/>
          <w:szCs w:val="24"/>
          <w:lang w:val="es-CO"/>
        </w:rPr>
      </w:pPr>
      <w:r w:rsidRPr="00E141EC">
        <w:rPr>
          <w:rFonts w:ascii="Book Antiqua" w:hAnsi="Book Antiqua"/>
          <w:sz w:val="24"/>
          <w:szCs w:val="24"/>
          <w:lang w:val="es-CO"/>
        </w:rPr>
        <w:t xml:space="preserve">La razón de estas carencias, está consignada en el mismo </w:t>
      </w:r>
      <w:r w:rsidR="00CA27F3">
        <w:rPr>
          <w:rFonts w:ascii="Book Antiqua" w:hAnsi="Book Antiqua"/>
          <w:sz w:val="24"/>
          <w:szCs w:val="24"/>
          <w:lang w:val="es-CO"/>
        </w:rPr>
        <w:t>A</w:t>
      </w:r>
      <w:r w:rsidRPr="00E141EC">
        <w:rPr>
          <w:rFonts w:ascii="Book Antiqua" w:hAnsi="Book Antiqua"/>
          <w:sz w:val="24"/>
          <w:szCs w:val="24"/>
          <w:lang w:val="es-CO"/>
        </w:rPr>
        <w:t xml:space="preserve">cuerdo </w:t>
      </w:r>
      <w:r w:rsidR="00CA27F3">
        <w:rPr>
          <w:rFonts w:ascii="Book Antiqua" w:hAnsi="Book Antiqua"/>
          <w:sz w:val="24"/>
          <w:szCs w:val="24"/>
          <w:lang w:val="es-CO"/>
        </w:rPr>
        <w:t xml:space="preserve">No. </w:t>
      </w:r>
      <w:r w:rsidRPr="00E141EC">
        <w:rPr>
          <w:rFonts w:ascii="Book Antiqua" w:hAnsi="Book Antiqua"/>
          <w:sz w:val="24"/>
          <w:szCs w:val="24"/>
          <w:lang w:val="es-CO"/>
        </w:rPr>
        <w:t xml:space="preserve">PSAA14-10155 de mayo de 2014: </w:t>
      </w:r>
      <w:r w:rsidR="00063546">
        <w:rPr>
          <w:rFonts w:ascii="Book Antiqua" w:hAnsi="Book Antiqua"/>
          <w:sz w:val="24"/>
          <w:szCs w:val="24"/>
          <w:lang w:val="es-CO"/>
        </w:rPr>
        <w:t>“</w:t>
      </w:r>
      <w:r w:rsidRPr="00E141EC">
        <w:rPr>
          <w:rFonts w:ascii="Book Antiqua" w:hAnsi="Book Antiqua"/>
          <w:sz w:val="24"/>
          <w:szCs w:val="24"/>
          <w:lang w:val="es-CO"/>
        </w:rPr>
        <w:t>El Gobierno Nacional no ha hecho las apropiaciones presupuestales necesarias para financiar los requerimientos del sistema oral, que en ese momento se calcularon en dos (2) billones de pesos</w:t>
      </w:r>
      <w:r w:rsidR="00063546">
        <w:rPr>
          <w:rFonts w:ascii="Book Antiqua" w:hAnsi="Book Antiqua"/>
          <w:sz w:val="24"/>
          <w:szCs w:val="24"/>
          <w:lang w:val="es-CO"/>
        </w:rPr>
        <w:t>”</w:t>
      </w:r>
      <w:r w:rsidRPr="00E141EC">
        <w:rPr>
          <w:rFonts w:ascii="Book Antiqua" w:hAnsi="Book Antiqua"/>
          <w:sz w:val="24"/>
          <w:szCs w:val="24"/>
          <w:lang w:val="es-CO"/>
        </w:rPr>
        <w:t>.</w:t>
      </w:r>
    </w:p>
    <w:p w:rsidR="009E0335" w:rsidRPr="00E141EC" w:rsidRDefault="009E0335" w:rsidP="009E0335">
      <w:pPr>
        <w:spacing w:line="360" w:lineRule="auto"/>
        <w:jc w:val="both"/>
        <w:rPr>
          <w:rFonts w:ascii="Book Antiqua" w:hAnsi="Book Antiqua"/>
          <w:sz w:val="24"/>
          <w:szCs w:val="24"/>
          <w:lang w:val="es-CO"/>
        </w:rPr>
      </w:pPr>
      <w:r w:rsidRPr="00E141EC">
        <w:rPr>
          <w:rFonts w:ascii="Book Antiqua" w:hAnsi="Book Antiqua"/>
          <w:sz w:val="24"/>
          <w:szCs w:val="24"/>
          <w:lang w:val="es-CO"/>
        </w:rPr>
        <w:t xml:space="preserve">El modelo de gestión, apenas empieza su estudio, con el </w:t>
      </w:r>
      <w:r w:rsidR="00CA27F3">
        <w:rPr>
          <w:rFonts w:ascii="Book Antiqua" w:hAnsi="Book Antiqua"/>
          <w:sz w:val="24"/>
          <w:szCs w:val="24"/>
          <w:lang w:val="es-CO"/>
        </w:rPr>
        <w:t>C</w:t>
      </w:r>
      <w:r w:rsidRPr="00E141EC">
        <w:rPr>
          <w:rFonts w:ascii="Book Antiqua" w:hAnsi="Book Antiqua"/>
          <w:sz w:val="24"/>
          <w:szCs w:val="24"/>
          <w:lang w:val="es-CO"/>
        </w:rPr>
        <w:t xml:space="preserve">ontrato </w:t>
      </w:r>
      <w:r w:rsidR="00CA27F3">
        <w:rPr>
          <w:rFonts w:ascii="Book Antiqua" w:hAnsi="Book Antiqua"/>
          <w:sz w:val="24"/>
          <w:szCs w:val="24"/>
          <w:lang w:val="es-CO"/>
        </w:rPr>
        <w:t xml:space="preserve">No. </w:t>
      </w:r>
      <w:r w:rsidRPr="00E141EC">
        <w:rPr>
          <w:rFonts w:ascii="Book Antiqua" w:hAnsi="Book Antiqua"/>
          <w:sz w:val="24"/>
          <w:szCs w:val="24"/>
          <w:lang w:val="es-CO"/>
        </w:rPr>
        <w:t>07 de 2015, cuyos resultados serían entregados en diciembre de 2015.</w:t>
      </w:r>
    </w:p>
    <w:p w:rsidR="00274C7D" w:rsidRDefault="00C94603" w:rsidP="00C94603">
      <w:pPr>
        <w:adjustRightInd w:val="0"/>
        <w:spacing w:line="360" w:lineRule="auto"/>
        <w:jc w:val="both"/>
        <w:textAlignment w:val="baseline"/>
        <w:rPr>
          <w:rFonts w:ascii="Book Antiqua" w:hAnsi="Book Antiqua"/>
          <w:color w:val="000000"/>
          <w:sz w:val="24"/>
          <w:szCs w:val="24"/>
        </w:rPr>
      </w:pPr>
      <w:r w:rsidRPr="00E141EC">
        <w:rPr>
          <w:rFonts w:ascii="Book Antiqua" w:hAnsi="Book Antiqua"/>
          <w:color w:val="000000"/>
          <w:sz w:val="24"/>
          <w:szCs w:val="24"/>
        </w:rPr>
        <w:t xml:space="preserve">Con ese panorama se necesita con carácter urgente una decisión legislativa que aplace, por lo menos en 3 años,  la entrada en vigencia de la </w:t>
      </w:r>
      <w:r w:rsidR="00CA27F3">
        <w:rPr>
          <w:rFonts w:ascii="Book Antiqua" w:hAnsi="Book Antiqua"/>
          <w:color w:val="000000"/>
          <w:sz w:val="24"/>
          <w:szCs w:val="24"/>
        </w:rPr>
        <w:t>L</w:t>
      </w:r>
      <w:r w:rsidRPr="00E141EC">
        <w:rPr>
          <w:rFonts w:ascii="Book Antiqua" w:hAnsi="Book Antiqua"/>
          <w:color w:val="000000"/>
          <w:sz w:val="24"/>
          <w:szCs w:val="24"/>
        </w:rPr>
        <w:t>ey 1395 de 2010 en los 10 distritos judiciales que aún no ha ingresado</w:t>
      </w:r>
      <w:r w:rsidR="00155DFC">
        <w:rPr>
          <w:rFonts w:ascii="Book Antiqua" w:hAnsi="Book Antiqua"/>
          <w:color w:val="000000"/>
          <w:sz w:val="24"/>
          <w:szCs w:val="24"/>
        </w:rPr>
        <w:t>. Así como superar las deficiencias que se acusan en aquellos Distrito</w:t>
      </w:r>
      <w:r w:rsidR="00F727FD">
        <w:rPr>
          <w:rFonts w:ascii="Book Antiqua" w:hAnsi="Book Antiqua"/>
          <w:color w:val="000000"/>
          <w:sz w:val="24"/>
          <w:szCs w:val="24"/>
        </w:rPr>
        <w:t>s</w:t>
      </w:r>
      <w:r w:rsidR="00155DFC">
        <w:rPr>
          <w:rFonts w:ascii="Book Antiqua" w:hAnsi="Book Antiqua"/>
          <w:color w:val="000000"/>
          <w:sz w:val="24"/>
          <w:szCs w:val="24"/>
        </w:rPr>
        <w:t xml:space="preserve"> Judiciales en los cuales se dispuso la entrada en vigencia del sistema</w:t>
      </w:r>
      <w:r w:rsidR="00274C7D">
        <w:rPr>
          <w:rFonts w:ascii="Book Antiqua" w:hAnsi="Book Antiqua"/>
          <w:color w:val="000000"/>
          <w:sz w:val="24"/>
          <w:szCs w:val="24"/>
        </w:rPr>
        <w:t xml:space="preserve">, </w:t>
      </w:r>
      <w:r w:rsidRPr="00E141EC">
        <w:rPr>
          <w:rFonts w:ascii="Book Antiqua" w:hAnsi="Book Antiqua"/>
          <w:color w:val="000000"/>
          <w:sz w:val="24"/>
          <w:szCs w:val="24"/>
        </w:rPr>
        <w:t>porque ni antes ni ahora, han podido cumplirse los procesos de capacitación</w:t>
      </w:r>
      <w:r w:rsidR="00CA27F3">
        <w:rPr>
          <w:rFonts w:ascii="Book Antiqua" w:hAnsi="Book Antiqua"/>
          <w:color w:val="000000"/>
          <w:sz w:val="24"/>
          <w:szCs w:val="24"/>
        </w:rPr>
        <w:t>,</w:t>
      </w:r>
      <w:r w:rsidRPr="00E141EC">
        <w:rPr>
          <w:rFonts w:ascii="Book Antiqua" w:hAnsi="Book Antiqua"/>
          <w:color w:val="000000"/>
          <w:sz w:val="24"/>
          <w:szCs w:val="24"/>
        </w:rPr>
        <w:t xml:space="preserve"> adecuación de infraestructura de los despachos judiciales ni adquirido los avances tecnológicos que el legislador prevé para ello necesarios, para cumplir así el condicionamiento de la Corte Constitucional</w:t>
      </w:r>
      <w:r w:rsidR="00274C7D">
        <w:rPr>
          <w:rStyle w:val="Refdenotaalpie"/>
          <w:rFonts w:ascii="Book Antiqua" w:hAnsi="Book Antiqua"/>
          <w:color w:val="000000"/>
          <w:sz w:val="24"/>
          <w:szCs w:val="24"/>
        </w:rPr>
        <w:footnoteReference w:id="4"/>
      </w:r>
      <w:r w:rsidR="002678B3">
        <w:rPr>
          <w:rFonts w:ascii="Book Antiqua" w:hAnsi="Book Antiqua"/>
          <w:color w:val="000000"/>
          <w:sz w:val="24"/>
          <w:szCs w:val="24"/>
        </w:rPr>
        <w:t>.</w:t>
      </w:r>
      <w:r w:rsidR="00A928C7">
        <w:rPr>
          <w:rFonts w:ascii="Book Antiqua" w:hAnsi="Book Antiqua"/>
          <w:color w:val="000000"/>
          <w:sz w:val="24"/>
          <w:szCs w:val="24"/>
        </w:rPr>
        <w:t xml:space="preserve"> </w:t>
      </w:r>
    </w:p>
    <w:p w:rsidR="00C94603" w:rsidRDefault="002678B3" w:rsidP="00987F47">
      <w:pPr>
        <w:tabs>
          <w:tab w:val="left" w:pos="6360"/>
        </w:tabs>
        <w:adjustRightInd w:val="0"/>
        <w:spacing w:line="360" w:lineRule="auto"/>
        <w:jc w:val="both"/>
        <w:textAlignment w:val="baseline"/>
        <w:rPr>
          <w:rFonts w:ascii="Book Antiqua" w:hAnsi="Book Antiqua"/>
          <w:color w:val="000000"/>
          <w:sz w:val="24"/>
          <w:szCs w:val="24"/>
        </w:rPr>
      </w:pPr>
      <w:r w:rsidRPr="002678B3">
        <w:rPr>
          <w:rFonts w:ascii="Book Antiqua" w:hAnsi="Book Antiqua"/>
          <w:color w:val="000000"/>
          <w:sz w:val="24"/>
          <w:szCs w:val="24"/>
        </w:rPr>
        <w:lastRenderedPageBreak/>
        <w:t>En detalle se tiene</w:t>
      </w:r>
      <w:r w:rsidR="00274C7D">
        <w:rPr>
          <w:rFonts w:ascii="Book Antiqua" w:hAnsi="Book Antiqua"/>
          <w:color w:val="000000"/>
          <w:sz w:val="24"/>
          <w:szCs w:val="24"/>
        </w:rPr>
        <w:t xml:space="preserve"> se tiene el reporte de carencias</w:t>
      </w:r>
      <w:r w:rsidR="00855652">
        <w:rPr>
          <w:rFonts w:ascii="Book Antiqua" w:hAnsi="Book Antiqua"/>
          <w:color w:val="000000"/>
          <w:sz w:val="24"/>
          <w:szCs w:val="24"/>
        </w:rPr>
        <w:t xml:space="preserve"> de los Distritos Judiciales</w:t>
      </w:r>
      <w:r>
        <w:rPr>
          <w:rFonts w:ascii="Book Antiqua" w:hAnsi="Book Antiqua"/>
          <w:color w:val="000000"/>
          <w:sz w:val="24"/>
          <w:szCs w:val="24"/>
        </w:rPr>
        <w:t>:</w:t>
      </w:r>
      <w:r w:rsidR="00987F47">
        <w:rPr>
          <w:rFonts w:ascii="Book Antiqua" w:hAnsi="Book Antiqua"/>
          <w:color w:val="000000"/>
          <w:sz w:val="24"/>
          <w:szCs w:val="24"/>
        </w:rPr>
        <w:tab/>
      </w:r>
    </w:p>
    <w:tbl>
      <w:tblPr>
        <w:tblStyle w:val="Tablaconcuadrcula"/>
        <w:tblW w:w="9214" w:type="dxa"/>
        <w:tblLook w:val="04A0" w:firstRow="1" w:lastRow="0" w:firstColumn="1" w:lastColumn="0" w:noHBand="0" w:noVBand="1"/>
      </w:tblPr>
      <w:tblGrid>
        <w:gridCol w:w="1985"/>
        <w:gridCol w:w="1559"/>
        <w:gridCol w:w="1418"/>
        <w:gridCol w:w="1134"/>
        <w:gridCol w:w="3118"/>
      </w:tblGrid>
      <w:tr w:rsidR="00987F47" w:rsidRPr="00987F47" w:rsidTr="005D6CD3">
        <w:tc>
          <w:tcPr>
            <w:tcW w:w="1985" w:type="dxa"/>
            <w:shd w:val="clear" w:color="auto" w:fill="00B0F0"/>
          </w:tcPr>
          <w:p w:rsidR="00987F47" w:rsidRPr="00987F47" w:rsidRDefault="00987F47" w:rsidP="00AE64A7">
            <w:pPr>
              <w:jc w:val="center"/>
              <w:rPr>
                <w:rFonts w:ascii="Calibri" w:hAnsi="Calibri"/>
                <w:b/>
                <w:sz w:val="18"/>
                <w:szCs w:val="18"/>
              </w:rPr>
            </w:pPr>
            <w:r w:rsidRPr="00987F47">
              <w:rPr>
                <w:rFonts w:ascii="Calibri" w:hAnsi="Calibri"/>
                <w:b/>
                <w:sz w:val="18"/>
                <w:szCs w:val="18"/>
              </w:rPr>
              <w:t>Distrito Judicial</w:t>
            </w:r>
          </w:p>
        </w:tc>
        <w:tc>
          <w:tcPr>
            <w:tcW w:w="1559" w:type="dxa"/>
            <w:shd w:val="clear" w:color="auto" w:fill="00B0F0"/>
          </w:tcPr>
          <w:p w:rsidR="00987F47" w:rsidRPr="00987F47" w:rsidRDefault="00987F47" w:rsidP="00AE64A7">
            <w:pPr>
              <w:jc w:val="center"/>
              <w:rPr>
                <w:rFonts w:ascii="Calibri" w:hAnsi="Calibri"/>
                <w:b/>
                <w:sz w:val="18"/>
                <w:szCs w:val="18"/>
              </w:rPr>
            </w:pPr>
            <w:r w:rsidRPr="00987F47">
              <w:rPr>
                <w:rFonts w:ascii="Calibri" w:hAnsi="Calibri"/>
                <w:b/>
                <w:sz w:val="18"/>
                <w:szCs w:val="18"/>
              </w:rPr>
              <w:t>Con Oralidad (Ley 1395 de 2010</w:t>
            </w:r>
          </w:p>
        </w:tc>
        <w:tc>
          <w:tcPr>
            <w:tcW w:w="1418" w:type="dxa"/>
            <w:shd w:val="clear" w:color="auto" w:fill="00B0F0"/>
          </w:tcPr>
          <w:p w:rsidR="00987F47" w:rsidRPr="00987F47" w:rsidRDefault="00987F47" w:rsidP="00AE64A7">
            <w:pPr>
              <w:jc w:val="center"/>
              <w:rPr>
                <w:rFonts w:ascii="Calibri" w:hAnsi="Calibri"/>
                <w:b/>
                <w:sz w:val="18"/>
                <w:szCs w:val="18"/>
              </w:rPr>
            </w:pPr>
            <w:r w:rsidRPr="00987F47">
              <w:rPr>
                <w:rFonts w:ascii="Calibri" w:hAnsi="Calibri"/>
                <w:b/>
                <w:sz w:val="18"/>
                <w:szCs w:val="18"/>
              </w:rPr>
              <w:t xml:space="preserve">Con Oralidad CGP </w:t>
            </w:r>
          </w:p>
        </w:tc>
        <w:tc>
          <w:tcPr>
            <w:tcW w:w="1134" w:type="dxa"/>
            <w:shd w:val="clear" w:color="auto" w:fill="00B0F0"/>
          </w:tcPr>
          <w:p w:rsidR="00987F47" w:rsidRPr="00987F47" w:rsidRDefault="00987F47" w:rsidP="00AE64A7">
            <w:pPr>
              <w:jc w:val="center"/>
              <w:rPr>
                <w:rFonts w:ascii="Calibri" w:hAnsi="Calibri"/>
                <w:b/>
                <w:sz w:val="18"/>
                <w:szCs w:val="18"/>
              </w:rPr>
            </w:pPr>
            <w:r w:rsidRPr="00987F47">
              <w:rPr>
                <w:rFonts w:ascii="Calibri" w:hAnsi="Calibri"/>
                <w:b/>
                <w:sz w:val="18"/>
                <w:szCs w:val="18"/>
              </w:rPr>
              <w:t xml:space="preserve">Sin Oralidad </w:t>
            </w:r>
          </w:p>
        </w:tc>
        <w:tc>
          <w:tcPr>
            <w:tcW w:w="3118" w:type="dxa"/>
            <w:shd w:val="clear" w:color="auto" w:fill="00B0F0"/>
          </w:tcPr>
          <w:p w:rsidR="00987F47" w:rsidRPr="00987F47" w:rsidRDefault="00987F47" w:rsidP="00AE64A7">
            <w:pPr>
              <w:jc w:val="center"/>
              <w:rPr>
                <w:rFonts w:ascii="Calibri" w:hAnsi="Calibri"/>
                <w:b/>
                <w:sz w:val="18"/>
                <w:szCs w:val="18"/>
              </w:rPr>
            </w:pPr>
            <w:r w:rsidRPr="00987F47">
              <w:rPr>
                <w:rFonts w:ascii="Calibri" w:hAnsi="Calibri"/>
                <w:b/>
                <w:sz w:val="18"/>
                <w:szCs w:val="18"/>
              </w:rPr>
              <w:t xml:space="preserve">Dificultades reportadas </w:t>
            </w:r>
          </w:p>
        </w:tc>
      </w:tr>
      <w:tr w:rsidR="001B4014" w:rsidRPr="005D6CD3" w:rsidTr="001B4014">
        <w:tc>
          <w:tcPr>
            <w:tcW w:w="1985" w:type="dxa"/>
            <w:shd w:val="clear" w:color="auto" w:fill="B8CCE4" w:themeFill="accent1" w:themeFillTint="66"/>
          </w:tcPr>
          <w:p w:rsidR="00987F47" w:rsidRPr="001B4014" w:rsidRDefault="00987F47" w:rsidP="006B73F5">
            <w:pPr>
              <w:jc w:val="center"/>
              <w:rPr>
                <w:rFonts w:ascii="Calibri" w:hAnsi="Calibri"/>
                <w:b/>
                <w:sz w:val="18"/>
                <w:szCs w:val="18"/>
              </w:rPr>
            </w:pPr>
            <w:r w:rsidRPr="001B4014">
              <w:rPr>
                <w:rFonts w:ascii="Calibri" w:hAnsi="Calibri"/>
                <w:b/>
                <w:sz w:val="18"/>
                <w:szCs w:val="18"/>
              </w:rPr>
              <w:t>Antioquia</w:t>
            </w:r>
          </w:p>
        </w:tc>
        <w:tc>
          <w:tcPr>
            <w:tcW w:w="1559" w:type="dxa"/>
            <w:shd w:val="clear" w:color="auto" w:fill="B8CCE4" w:themeFill="accent1" w:themeFillTint="66"/>
          </w:tcPr>
          <w:p w:rsidR="00987F47" w:rsidRPr="001B4014" w:rsidRDefault="00987F47" w:rsidP="005D6CD3">
            <w:pPr>
              <w:rPr>
                <w:rFonts w:ascii="Calibri" w:hAnsi="Calibri"/>
                <w:sz w:val="18"/>
                <w:szCs w:val="18"/>
              </w:rPr>
            </w:pPr>
          </w:p>
        </w:tc>
        <w:tc>
          <w:tcPr>
            <w:tcW w:w="1418" w:type="dxa"/>
            <w:shd w:val="clear" w:color="auto" w:fill="B8CCE4" w:themeFill="accent1" w:themeFillTint="66"/>
          </w:tcPr>
          <w:p w:rsidR="00987F47" w:rsidRPr="001B4014" w:rsidRDefault="00987F47" w:rsidP="005D6CD3">
            <w:pPr>
              <w:rPr>
                <w:rFonts w:ascii="Calibri" w:hAnsi="Calibri"/>
                <w:sz w:val="18"/>
                <w:szCs w:val="18"/>
              </w:rPr>
            </w:pPr>
          </w:p>
        </w:tc>
        <w:tc>
          <w:tcPr>
            <w:tcW w:w="1134" w:type="dxa"/>
            <w:shd w:val="clear" w:color="auto" w:fill="B8CCE4" w:themeFill="accent1" w:themeFillTint="66"/>
          </w:tcPr>
          <w:p w:rsidR="00987F47" w:rsidRPr="001B4014" w:rsidRDefault="00987F47" w:rsidP="006B73F5">
            <w:pPr>
              <w:jc w:val="center"/>
              <w:rPr>
                <w:rFonts w:ascii="Calibri" w:hAnsi="Calibri"/>
                <w:b/>
                <w:sz w:val="18"/>
                <w:szCs w:val="18"/>
              </w:rPr>
            </w:pPr>
            <w:r w:rsidRPr="001B4014">
              <w:rPr>
                <w:rFonts w:ascii="Calibri" w:hAnsi="Calibri"/>
                <w:b/>
                <w:sz w:val="18"/>
                <w:szCs w:val="18"/>
              </w:rPr>
              <w:t>X</w:t>
            </w:r>
          </w:p>
        </w:tc>
        <w:tc>
          <w:tcPr>
            <w:tcW w:w="3118" w:type="dxa"/>
            <w:shd w:val="clear" w:color="auto" w:fill="B8CCE4" w:themeFill="accent1" w:themeFillTint="66"/>
          </w:tcPr>
          <w:p w:rsidR="00855652" w:rsidRPr="005D6CD3" w:rsidRDefault="00987F47" w:rsidP="005D6CD3">
            <w:pPr>
              <w:spacing w:after="0" w:line="240" w:lineRule="auto"/>
              <w:rPr>
                <w:rFonts w:cs="Arial"/>
                <w:bCs/>
                <w:sz w:val="18"/>
                <w:szCs w:val="18"/>
                <w:lang w:val="es-ES_tradnl" w:eastAsia="ja-JP"/>
              </w:rPr>
            </w:pPr>
            <w:r w:rsidRPr="005D6CD3">
              <w:rPr>
                <w:rFonts w:cs="Arial"/>
                <w:bCs/>
                <w:sz w:val="18"/>
                <w:szCs w:val="18"/>
                <w:lang w:val="es-ES_tradnl" w:eastAsia="ja-JP"/>
              </w:rPr>
              <w:t>Salas de audiencias</w:t>
            </w:r>
          </w:p>
          <w:p w:rsidR="00AE64A7" w:rsidRPr="005D6CD3" w:rsidRDefault="00987F47" w:rsidP="005D6CD3">
            <w:pPr>
              <w:spacing w:after="0" w:line="240" w:lineRule="auto"/>
              <w:rPr>
                <w:rFonts w:cs="Arial"/>
                <w:bCs/>
                <w:sz w:val="18"/>
                <w:szCs w:val="18"/>
                <w:lang w:val="es-ES_tradnl" w:eastAsia="ja-JP"/>
              </w:rPr>
            </w:pPr>
            <w:r w:rsidRPr="005D6CD3">
              <w:rPr>
                <w:rFonts w:cs="Arial"/>
                <w:bCs/>
                <w:sz w:val="18"/>
                <w:szCs w:val="18"/>
                <w:lang w:val="es-ES_tradnl" w:eastAsia="ja-JP"/>
              </w:rPr>
              <w:t>Tecnología</w:t>
            </w:r>
          </w:p>
          <w:p w:rsidR="00AE64A7" w:rsidRPr="005D6CD3" w:rsidRDefault="00AE64A7" w:rsidP="005D6CD3">
            <w:pPr>
              <w:spacing w:after="0" w:line="240" w:lineRule="auto"/>
              <w:rPr>
                <w:rFonts w:cs="Arial"/>
                <w:bCs/>
                <w:sz w:val="18"/>
                <w:szCs w:val="18"/>
                <w:lang w:val="es-ES_tradnl" w:eastAsia="ja-JP"/>
              </w:rPr>
            </w:pPr>
            <w:r w:rsidRPr="005D6CD3">
              <w:rPr>
                <w:rFonts w:cs="Arial"/>
                <w:bCs/>
                <w:sz w:val="18"/>
                <w:szCs w:val="18"/>
                <w:lang w:val="es-ES_tradnl" w:eastAsia="ja-JP"/>
              </w:rPr>
              <w:t>C</w:t>
            </w:r>
            <w:r w:rsidR="00987F47" w:rsidRPr="005D6CD3">
              <w:rPr>
                <w:rFonts w:cs="Arial"/>
                <w:bCs/>
                <w:sz w:val="18"/>
                <w:szCs w:val="18"/>
                <w:lang w:val="es-ES_tradnl" w:eastAsia="ja-JP"/>
              </w:rPr>
              <w:t>apacitación</w:t>
            </w:r>
          </w:p>
          <w:p w:rsidR="00AE64A7" w:rsidRPr="005D6CD3" w:rsidRDefault="00987F47" w:rsidP="005D6CD3">
            <w:pPr>
              <w:spacing w:after="0" w:line="240" w:lineRule="auto"/>
              <w:rPr>
                <w:rFonts w:cs="Arial"/>
                <w:bCs/>
                <w:sz w:val="18"/>
                <w:szCs w:val="18"/>
                <w:lang w:val="es-ES_tradnl" w:eastAsia="ja-JP"/>
              </w:rPr>
            </w:pPr>
            <w:r w:rsidRPr="005D6CD3">
              <w:rPr>
                <w:rFonts w:cs="Arial"/>
                <w:bCs/>
                <w:sz w:val="18"/>
                <w:szCs w:val="18"/>
                <w:lang w:val="es-ES_tradnl" w:eastAsia="ja-JP"/>
              </w:rPr>
              <w:t>Medidas de</w:t>
            </w:r>
            <w:r w:rsidR="00AE64A7" w:rsidRPr="005D6CD3">
              <w:rPr>
                <w:rFonts w:cs="Arial"/>
                <w:bCs/>
                <w:sz w:val="18"/>
                <w:szCs w:val="18"/>
                <w:lang w:val="es-ES_tradnl" w:eastAsia="ja-JP"/>
              </w:rPr>
              <w:t xml:space="preserve"> </w:t>
            </w:r>
            <w:r w:rsidRPr="005D6CD3">
              <w:rPr>
                <w:rFonts w:cs="Arial"/>
                <w:bCs/>
                <w:sz w:val="18"/>
                <w:szCs w:val="18"/>
                <w:lang w:val="es-ES_tradnl" w:eastAsia="ja-JP"/>
              </w:rPr>
              <w:t xml:space="preserve">Descongestión </w:t>
            </w:r>
          </w:p>
          <w:p w:rsidR="00987F47" w:rsidRPr="00987F47" w:rsidRDefault="00855652" w:rsidP="005D6CD3">
            <w:pPr>
              <w:spacing w:after="0" w:line="240" w:lineRule="auto"/>
              <w:rPr>
                <w:rFonts w:ascii="Calibri" w:hAnsi="Calibri"/>
                <w:b/>
                <w:sz w:val="18"/>
                <w:szCs w:val="18"/>
              </w:rPr>
            </w:pPr>
            <w:r w:rsidRPr="005D6CD3">
              <w:rPr>
                <w:rFonts w:cs="Arial"/>
                <w:bCs/>
                <w:sz w:val="18"/>
                <w:szCs w:val="18"/>
                <w:lang w:val="es-ES_tradnl" w:eastAsia="ja-JP"/>
              </w:rPr>
              <w:t>C</w:t>
            </w:r>
            <w:r w:rsidR="00987F47" w:rsidRPr="005D6CD3">
              <w:rPr>
                <w:rFonts w:cs="Arial"/>
                <w:bCs/>
                <w:sz w:val="18"/>
                <w:szCs w:val="18"/>
                <w:lang w:val="es-ES_tradnl" w:eastAsia="ja-JP"/>
              </w:rPr>
              <w:t>reación de cargos permanentes</w:t>
            </w:r>
            <w:r w:rsidR="00987F47" w:rsidRPr="005D6CD3">
              <w:rPr>
                <w:rFonts w:ascii="Calibri" w:hAnsi="Calibri"/>
                <w:b/>
                <w:sz w:val="18"/>
                <w:szCs w:val="18"/>
              </w:rPr>
              <w:t xml:space="preserve"> </w:t>
            </w:r>
          </w:p>
        </w:tc>
      </w:tr>
      <w:tr w:rsidR="00987F47" w:rsidRPr="00987F47" w:rsidTr="00855652">
        <w:trPr>
          <w:trHeight w:val="1030"/>
        </w:trPr>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Arauca</w:t>
            </w:r>
          </w:p>
          <w:p w:rsidR="00987F47" w:rsidRPr="00987F47" w:rsidRDefault="00987F47" w:rsidP="006B73F5">
            <w:pPr>
              <w:jc w:val="center"/>
              <w:rPr>
                <w:rFonts w:ascii="Calibri" w:hAnsi="Calibri"/>
                <w:b/>
                <w:sz w:val="18"/>
                <w:szCs w:val="18"/>
              </w:rPr>
            </w:pP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855652"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Salas de audiencias</w:t>
            </w:r>
          </w:p>
          <w:p w:rsidR="00855652"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Tecnología</w:t>
            </w:r>
          </w:p>
          <w:p w:rsidR="00855652" w:rsidRPr="00AE64A7"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Capacitación</w:t>
            </w:r>
          </w:p>
          <w:p w:rsidR="00855652" w:rsidRPr="00AE64A7"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 xml:space="preserve">Medidas de Descongestión </w:t>
            </w:r>
          </w:p>
          <w:p w:rsidR="00987F47" w:rsidRPr="00987F47" w:rsidRDefault="00855652" w:rsidP="00855652">
            <w:pPr>
              <w:spacing w:after="0" w:line="240" w:lineRule="auto"/>
              <w:rPr>
                <w:rFonts w:ascii="Calibri" w:hAnsi="Calibri"/>
                <w:b/>
                <w:sz w:val="18"/>
                <w:szCs w:val="18"/>
              </w:rPr>
            </w:pPr>
            <w:r>
              <w:rPr>
                <w:rFonts w:cs="Arial"/>
                <w:bCs/>
                <w:sz w:val="18"/>
                <w:szCs w:val="18"/>
                <w:lang w:val="es-ES_tradnl" w:eastAsia="ja-JP"/>
              </w:rPr>
              <w:t>C</w:t>
            </w:r>
            <w:r w:rsidRPr="00AE64A7">
              <w:rPr>
                <w:rFonts w:cs="Arial"/>
                <w:bCs/>
                <w:sz w:val="18"/>
                <w:szCs w:val="18"/>
                <w:lang w:val="es-ES_tradnl" w:eastAsia="ja-JP"/>
              </w:rPr>
              <w:t>reación de cargos permanente</w:t>
            </w:r>
            <w:r>
              <w:rPr>
                <w:rFonts w:cs="Arial"/>
                <w:bCs/>
                <w:sz w:val="18"/>
                <w:szCs w:val="18"/>
                <w:lang w:val="es-ES_tradnl" w:eastAsia="ja-JP"/>
              </w:rPr>
              <w:t>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Arc. San Andrés</w:t>
            </w: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855652"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Salas de audiencias</w:t>
            </w:r>
          </w:p>
          <w:p w:rsidR="00855652"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Tecnología</w:t>
            </w:r>
          </w:p>
          <w:p w:rsidR="00855652" w:rsidRPr="00AE64A7"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Capacitación</w:t>
            </w:r>
          </w:p>
          <w:p w:rsidR="00855652" w:rsidRPr="00AE64A7"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 xml:space="preserve">Medidas de Descongestión </w:t>
            </w:r>
          </w:p>
          <w:p w:rsidR="00987F47" w:rsidRPr="00987F47" w:rsidRDefault="00855652" w:rsidP="00855652">
            <w:pPr>
              <w:spacing w:after="0" w:line="240" w:lineRule="auto"/>
              <w:rPr>
                <w:rFonts w:ascii="Calibri" w:hAnsi="Calibri"/>
                <w:b/>
                <w:sz w:val="18"/>
                <w:szCs w:val="18"/>
              </w:rPr>
            </w:pPr>
            <w:r>
              <w:rPr>
                <w:rFonts w:cs="Arial"/>
                <w:bCs/>
                <w:sz w:val="18"/>
                <w:szCs w:val="18"/>
                <w:lang w:val="es-ES_tradnl" w:eastAsia="ja-JP"/>
              </w:rPr>
              <w:t>C</w:t>
            </w:r>
            <w:r w:rsidRPr="00AE64A7">
              <w:rPr>
                <w:rFonts w:cs="Arial"/>
                <w:bCs/>
                <w:sz w:val="18"/>
                <w:szCs w:val="18"/>
                <w:lang w:val="es-ES_tradnl" w:eastAsia="ja-JP"/>
              </w:rPr>
              <w:t>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Armenia</w:t>
            </w:r>
          </w:p>
          <w:p w:rsidR="00987F47" w:rsidRPr="00987F47" w:rsidRDefault="00987F47" w:rsidP="006B73F5">
            <w:pPr>
              <w:jc w:val="center"/>
              <w:rPr>
                <w:rFonts w:ascii="Calibri" w:hAnsi="Calibri"/>
                <w:b/>
                <w:sz w:val="18"/>
                <w:szCs w:val="18"/>
              </w:rPr>
            </w:pP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 xml:space="preserve">Medidas de Descongestión </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Barranquilla</w:t>
            </w:r>
          </w:p>
          <w:p w:rsidR="00987F47" w:rsidRPr="00987F47" w:rsidRDefault="00987F47" w:rsidP="006B73F5">
            <w:pPr>
              <w:jc w:val="center"/>
              <w:rPr>
                <w:rFonts w:ascii="Calibri" w:hAnsi="Calibri"/>
                <w:b/>
                <w:sz w:val="18"/>
                <w:szCs w:val="18"/>
              </w:rPr>
            </w:pP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 xml:space="preserve">Medidas de Descongestión </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Bogotá</w:t>
            </w: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855652"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Salas de audiencias</w:t>
            </w:r>
          </w:p>
          <w:p w:rsidR="00855652"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Tecnología</w:t>
            </w:r>
          </w:p>
          <w:p w:rsidR="00855652" w:rsidRPr="00AE64A7"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Capacitación</w:t>
            </w:r>
          </w:p>
          <w:p w:rsidR="00855652" w:rsidRPr="00AE64A7" w:rsidRDefault="00855652" w:rsidP="00855652">
            <w:pPr>
              <w:spacing w:after="0" w:line="240" w:lineRule="auto"/>
              <w:rPr>
                <w:rFonts w:cs="Arial"/>
                <w:bCs/>
                <w:sz w:val="18"/>
                <w:szCs w:val="18"/>
                <w:lang w:val="es-ES_tradnl" w:eastAsia="ja-JP"/>
              </w:rPr>
            </w:pPr>
            <w:r w:rsidRPr="00AE64A7">
              <w:rPr>
                <w:rFonts w:cs="Arial"/>
                <w:bCs/>
                <w:sz w:val="18"/>
                <w:szCs w:val="18"/>
                <w:lang w:val="es-ES_tradnl" w:eastAsia="ja-JP"/>
              </w:rPr>
              <w:t xml:space="preserve">Medidas de Descongestión </w:t>
            </w:r>
          </w:p>
          <w:p w:rsidR="00987F47" w:rsidRPr="00987F47" w:rsidRDefault="00855652" w:rsidP="00855652">
            <w:pPr>
              <w:spacing w:after="0" w:line="240" w:lineRule="auto"/>
              <w:rPr>
                <w:rFonts w:ascii="Calibri" w:hAnsi="Calibri"/>
                <w:b/>
                <w:sz w:val="18"/>
                <w:szCs w:val="18"/>
              </w:rPr>
            </w:pPr>
            <w:r>
              <w:rPr>
                <w:rFonts w:cs="Arial"/>
                <w:bCs/>
                <w:sz w:val="18"/>
                <w:szCs w:val="18"/>
                <w:lang w:val="es-ES_tradnl" w:eastAsia="ja-JP"/>
              </w:rPr>
              <w:t>C</w:t>
            </w:r>
            <w:r w:rsidRPr="00AE64A7">
              <w:rPr>
                <w:rFonts w:cs="Arial"/>
                <w:bCs/>
                <w:sz w:val="18"/>
                <w:szCs w:val="18"/>
                <w:lang w:val="es-ES_tradnl" w:eastAsia="ja-JP"/>
              </w:rPr>
              <w:t>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Bucaramanga</w:t>
            </w: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987F47" w:rsidTr="001B4014">
        <w:tc>
          <w:tcPr>
            <w:tcW w:w="1985" w:type="dxa"/>
            <w:shd w:val="clear" w:color="auto" w:fill="B8CCE4" w:themeFill="accent1" w:themeFillTint="66"/>
          </w:tcPr>
          <w:p w:rsidR="00987F47" w:rsidRPr="00987F47" w:rsidRDefault="00987F47" w:rsidP="006B73F5">
            <w:pPr>
              <w:jc w:val="center"/>
              <w:rPr>
                <w:rFonts w:ascii="Calibri" w:hAnsi="Calibri"/>
                <w:b/>
                <w:sz w:val="18"/>
                <w:szCs w:val="18"/>
              </w:rPr>
            </w:pPr>
            <w:r w:rsidRPr="00987F47">
              <w:rPr>
                <w:rFonts w:ascii="Calibri" w:hAnsi="Calibri"/>
                <w:b/>
                <w:sz w:val="18"/>
                <w:szCs w:val="18"/>
              </w:rPr>
              <w:t>Buga</w:t>
            </w:r>
          </w:p>
        </w:tc>
        <w:tc>
          <w:tcPr>
            <w:tcW w:w="1559" w:type="dxa"/>
            <w:shd w:val="clear" w:color="auto" w:fill="B8CCE4" w:themeFill="accent1" w:themeFillTint="66"/>
          </w:tcPr>
          <w:p w:rsidR="00987F47" w:rsidRPr="00987F47" w:rsidRDefault="00987F47" w:rsidP="00AE64A7">
            <w:pPr>
              <w:jc w:val="center"/>
              <w:rPr>
                <w:rFonts w:ascii="Calibri" w:hAnsi="Calibri"/>
                <w:b/>
                <w:sz w:val="18"/>
                <w:szCs w:val="18"/>
              </w:rPr>
            </w:pPr>
          </w:p>
        </w:tc>
        <w:tc>
          <w:tcPr>
            <w:tcW w:w="1418" w:type="dxa"/>
            <w:shd w:val="clear" w:color="auto" w:fill="B8CCE4" w:themeFill="accent1" w:themeFillTint="66"/>
          </w:tcPr>
          <w:p w:rsidR="00987F47" w:rsidRPr="00987F47" w:rsidRDefault="00987F47" w:rsidP="00AE64A7">
            <w:pPr>
              <w:jc w:val="center"/>
              <w:rPr>
                <w:rFonts w:ascii="Calibri" w:hAnsi="Calibri"/>
                <w:sz w:val="18"/>
                <w:szCs w:val="18"/>
              </w:rPr>
            </w:pPr>
          </w:p>
        </w:tc>
        <w:tc>
          <w:tcPr>
            <w:tcW w:w="1134" w:type="dxa"/>
            <w:shd w:val="clear" w:color="auto" w:fill="B8CCE4" w:themeFill="accent1" w:themeFillTint="66"/>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3118" w:type="dxa"/>
            <w:shd w:val="clear" w:color="auto" w:fill="B8CCE4" w:themeFill="accent1" w:themeFillTint="66"/>
          </w:tcPr>
          <w:p w:rsidR="00855652" w:rsidRDefault="00855652" w:rsidP="00855652">
            <w:pPr>
              <w:spacing w:after="0" w:line="240" w:lineRule="auto"/>
              <w:rPr>
                <w:rFonts w:cs="Arial"/>
                <w:bCs/>
                <w:sz w:val="18"/>
                <w:szCs w:val="18"/>
                <w:lang w:val="es-ES_tradnl" w:eastAsia="ja-JP"/>
              </w:rPr>
            </w:pPr>
            <w:r>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 xml:space="preserve">Medidas de Descongestión </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Cúcuta</w:t>
            </w:r>
          </w:p>
          <w:p w:rsidR="00987F47" w:rsidRPr="00987F47" w:rsidRDefault="00987F47" w:rsidP="006B73F5">
            <w:pPr>
              <w:jc w:val="center"/>
              <w:rPr>
                <w:rFonts w:ascii="Calibri" w:hAnsi="Calibri"/>
                <w:b/>
                <w:sz w:val="18"/>
                <w:szCs w:val="18"/>
              </w:rPr>
            </w:pP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855652" w:rsidP="00855652">
            <w:pPr>
              <w:spacing w:after="0" w:line="240" w:lineRule="auto"/>
              <w:rPr>
                <w:rFonts w:cs="Arial"/>
                <w:bCs/>
                <w:sz w:val="18"/>
                <w:szCs w:val="18"/>
                <w:lang w:val="es-ES_tradnl" w:eastAsia="ja-JP"/>
              </w:rPr>
            </w:pPr>
            <w:r>
              <w:rPr>
                <w:rFonts w:cs="Arial"/>
                <w:bCs/>
                <w:sz w:val="18"/>
                <w:szCs w:val="18"/>
                <w:lang w:val="es-ES_tradnl" w:eastAsia="ja-JP"/>
              </w:rPr>
              <w:t>T</w:t>
            </w:r>
            <w:r w:rsidR="00987F47" w:rsidRPr="00855652">
              <w:rPr>
                <w:rFonts w:cs="Arial"/>
                <w:bCs/>
                <w:sz w:val="18"/>
                <w:szCs w:val="18"/>
                <w:lang w:val="es-ES_tradnl" w:eastAsia="ja-JP"/>
              </w:rPr>
              <w: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 xml:space="preserve">Medidas de Descongestión </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987F47" w:rsidTr="001B4014">
        <w:tc>
          <w:tcPr>
            <w:tcW w:w="1985" w:type="dxa"/>
            <w:shd w:val="clear" w:color="auto" w:fill="B8CCE4" w:themeFill="accent1" w:themeFillTint="66"/>
          </w:tcPr>
          <w:p w:rsidR="00987F47" w:rsidRPr="00987F47" w:rsidRDefault="00987F47" w:rsidP="006B73F5">
            <w:pPr>
              <w:jc w:val="center"/>
              <w:rPr>
                <w:rFonts w:ascii="Calibri" w:hAnsi="Calibri"/>
                <w:b/>
                <w:sz w:val="18"/>
                <w:szCs w:val="18"/>
              </w:rPr>
            </w:pPr>
            <w:r w:rsidRPr="00987F47">
              <w:rPr>
                <w:rFonts w:ascii="Calibri" w:hAnsi="Calibri"/>
                <w:b/>
                <w:sz w:val="18"/>
                <w:szCs w:val="18"/>
              </w:rPr>
              <w:t>Cundinamarca</w:t>
            </w:r>
          </w:p>
        </w:tc>
        <w:tc>
          <w:tcPr>
            <w:tcW w:w="1559" w:type="dxa"/>
            <w:shd w:val="clear" w:color="auto" w:fill="B8CCE4" w:themeFill="accent1" w:themeFillTint="66"/>
          </w:tcPr>
          <w:p w:rsidR="00987F47" w:rsidRPr="00987F47" w:rsidRDefault="00987F47" w:rsidP="00AE64A7">
            <w:pPr>
              <w:jc w:val="center"/>
              <w:rPr>
                <w:rFonts w:ascii="Calibri" w:hAnsi="Calibri"/>
                <w:b/>
                <w:sz w:val="18"/>
                <w:szCs w:val="18"/>
              </w:rPr>
            </w:pPr>
          </w:p>
        </w:tc>
        <w:tc>
          <w:tcPr>
            <w:tcW w:w="1418" w:type="dxa"/>
            <w:shd w:val="clear" w:color="auto" w:fill="B8CCE4" w:themeFill="accent1" w:themeFillTint="66"/>
          </w:tcPr>
          <w:p w:rsidR="00987F47" w:rsidRPr="00987F47" w:rsidRDefault="00987F47" w:rsidP="00AE64A7">
            <w:pPr>
              <w:jc w:val="center"/>
              <w:rPr>
                <w:rFonts w:ascii="Calibri" w:hAnsi="Calibri"/>
                <w:sz w:val="18"/>
                <w:szCs w:val="18"/>
              </w:rPr>
            </w:pPr>
          </w:p>
        </w:tc>
        <w:tc>
          <w:tcPr>
            <w:tcW w:w="1134" w:type="dxa"/>
            <w:shd w:val="clear" w:color="auto" w:fill="B8CCE4" w:themeFill="accent1" w:themeFillTint="66"/>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3118" w:type="dxa"/>
            <w:shd w:val="clear" w:color="auto" w:fill="B8CCE4" w:themeFill="accent1" w:themeFillTint="66"/>
          </w:tcPr>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855652"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Florencia</w:t>
            </w:r>
          </w:p>
          <w:p w:rsidR="00987F47" w:rsidRPr="00987F47" w:rsidRDefault="00987F47" w:rsidP="006B73F5">
            <w:pPr>
              <w:jc w:val="center"/>
              <w:rPr>
                <w:rFonts w:ascii="Calibri" w:hAnsi="Calibri"/>
                <w:b/>
                <w:sz w:val="18"/>
                <w:szCs w:val="18"/>
              </w:rPr>
            </w:pP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 xml:space="preserve">-Medidas de Descongestión </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-Creación de cargos permanentes</w:t>
            </w:r>
          </w:p>
        </w:tc>
      </w:tr>
      <w:tr w:rsidR="00987F47" w:rsidRPr="00987F47" w:rsidTr="001B4014">
        <w:tc>
          <w:tcPr>
            <w:tcW w:w="1985" w:type="dxa"/>
            <w:shd w:val="clear" w:color="auto" w:fill="B8CCE4" w:themeFill="accent1" w:themeFillTint="66"/>
          </w:tcPr>
          <w:p w:rsidR="00987F47" w:rsidRPr="00987F47" w:rsidRDefault="00987F47" w:rsidP="006B73F5">
            <w:pPr>
              <w:jc w:val="center"/>
              <w:rPr>
                <w:rFonts w:ascii="Calibri" w:hAnsi="Calibri"/>
                <w:b/>
                <w:sz w:val="18"/>
                <w:szCs w:val="18"/>
              </w:rPr>
            </w:pPr>
            <w:r w:rsidRPr="00987F47">
              <w:rPr>
                <w:rFonts w:ascii="Calibri" w:hAnsi="Calibri"/>
                <w:b/>
                <w:sz w:val="18"/>
                <w:szCs w:val="18"/>
              </w:rPr>
              <w:t>Ibagué</w:t>
            </w:r>
          </w:p>
        </w:tc>
        <w:tc>
          <w:tcPr>
            <w:tcW w:w="1559" w:type="dxa"/>
            <w:shd w:val="clear" w:color="auto" w:fill="B8CCE4" w:themeFill="accent1" w:themeFillTint="66"/>
          </w:tcPr>
          <w:p w:rsidR="00987F47" w:rsidRPr="00987F47" w:rsidRDefault="00987F47" w:rsidP="00AE64A7">
            <w:pPr>
              <w:jc w:val="center"/>
              <w:rPr>
                <w:rFonts w:ascii="Calibri" w:hAnsi="Calibri"/>
                <w:b/>
                <w:sz w:val="18"/>
                <w:szCs w:val="18"/>
              </w:rPr>
            </w:pPr>
          </w:p>
        </w:tc>
        <w:tc>
          <w:tcPr>
            <w:tcW w:w="1418" w:type="dxa"/>
            <w:shd w:val="clear" w:color="auto" w:fill="B8CCE4" w:themeFill="accent1" w:themeFillTint="66"/>
          </w:tcPr>
          <w:p w:rsidR="00987F47" w:rsidRPr="00987F47" w:rsidRDefault="00987F47" w:rsidP="00AE64A7">
            <w:pPr>
              <w:jc w:val="center"/>
              <w:rPr>
                <w:rFonts w:ascii="Calibri" w:hAnsi="Calibri"/>
                <w:sz w:val="18"/>
                <w:szCs w:val="18"/>
              </w:rPr>
            </w:pPr>
          </w:p>
        </w:tc>
        <w:tc>
          <w:tcPr>
            <w:tcW w:w="1134" w:type="dxa"/>
            <w:shd w:val="clear" w:color="auto" w:fill="B8CCE4" w:themeFill="accent1" w:themeFillTint="66"/>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3118" w:type="dxa"/>
            <w:shd w:val="clear" w:color="auto" w:fill="B8CCE4" w:themeFill="accent1" w:themeFillTint="66"/>
          </w:tcPr>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 xml:space="preserve">Medidas de Descongestión </w:t>
            </w:r>
          </w:p>
          <w:p w:rsidR="00987F47"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Creación de cargos permanentes</w:t>
            </w:r>
          </w:p>
          <w:p w:rsidR="00855652" w:rsidRPr="00987F47" w:rsidRDefault="00855652" w:rsidP="00855652">
            <w:pPr>
              <w:spacing w:after="0" w:line="240" w:lineRule="auto"/>
              <w:rPr>
                <w:rFonts w:ascii="Calibri" w:hAnsi="Calibri"/>
                <w:b/>
                <w:sz w:val="18"/>
                <w:szCs w:val="18"/>
              </w:rPr>
            </w:pP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lastRenderedPageBreak/>
              <w:t>Manizales</w:t>
            </w:r>
          </w:p>
          <w:p w:rsidR="00987F47" w:rsidRPr="00987F47" w:rsidRDefault="00987F47" w:rsidP="006B73F5">
            <w:pPr>
              <w:jc w:val="center"/>
              <w:rPr>
                <w:rFonts w:ascii="Calibri" w:hAnsi="Calibri"/>
                <w:b/>
                <w:sz w:val="18"/>
                <w:szCs w:val="18"/>
              </w:rPr>
            </w:pP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855652" w:rsidRDefault="00855652" w:rsidP="00855652">
            <w:pPr>
              <w:spacing w:after="0" w:line="240" w:lineRule="auto"/>
              <w:rPr>
                <w:rFonts w:cs="Arial"/>
                <w:bCs/>
                <w:sz w:val="18"/>
                <w:szCs w:val="18"/>
                <w:lang w:val="es-ES_tradnl" w:eastAsia="ja-JP"/>
              </w:rPr>
            </w:pPr>
            <w:r>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 xml:space="preserve">Medidas de Descongestión </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987F47" w:rsidTr="001B4014">
        <w:tc>
          <w:tcPr>
            <w:tcW w:w="1985" w:type="dxa"/>
            <w:shd w:val="clear" w:color="auto" w:fill="B8CCE4" w:themeFill="accent1" w:themeFillTint="66"/>
          </w:tcPr>
          <w:p w:rsidR="00987F47" w:rsidRPr="00987F47" w:rsidRDefault="00987F47" w:rsidP="006B73F5">
            <w:pPr>
              <w:jc w:val="center"/>
              <w:rPr>
                <w:rFonts w:ascii="Calibri" w:hAnsi="Calibri"/>
                <w:b/>
                <w:sz w:val="18"/>
                <w:szCs w:val="18"/>
              </w:rPr>
            </w:pPr>
            <w:r w:rsidRPr="00987F47">
              <w:rPr>
                <w:rFonts w:ascii="Calibri" w:hAnsi="Calibri"/>
                <w:b/>
                <w:sz w:val="18"/>
                <w:szCs w:val="18"/>
              </w:rPr>
              <w:t>Mocoa</w:t>
            </w:r>
          </w:p>
        </w:tc>
        <w:tc>
          <w:tcPr>
            <w:tcW w:w="1559" w:type="dxa"/>
            <w:shd w:val="clear" w:color="auto" w:fill="B8CCE4" w:themeFill="accent1" w:themeFillTint="66"/>
          </w:tcPr>
          <w:p w:rsidR="00987F47" w:rsidRPr="00987F47" w:rsidRDefault="00987F47" w:rsidP="00AE64A7">
            <w:pPr>
              <w:jc w:val="center"/>
              <w:rPr>
                <w:rFonts w:ascii="Calibri" w:hAnsi="Calibri"/>
                <w:b/>
                <w:sz w:val="18"/>
                <w:szCs w:val="18"/>
              </w:rPr>
            </w:pPr>
          </w:p>
        </w:tc>
        <w:tc>
          <w:tcPr>
            <w:tcW w:w="1418" w:type="dxa"/>
            <w:shd w:val="clear" w:color="auto" w:fill="B8CCE4" w:themeFill="accent1" w:themeFillTint="66"/>
          </w:tcPr>
          <w:p w:rsidR="00987F47" w:rsidRPr="00987F47" w:rsidRDefault="00987F47" w:rsidP="00AE64A7">
            <w:pPr>
              <w:jc w:val="center"/>
              <w:rPr>
                <w:rFonts w:ascii="Calibri" w:hAnsi="Calibri"/>
                <w:sz w:val="18"/>
                <w:szCs w:val="18"/>
              </w:rPr>
            </w:pPr>
          </w:p>
        </w:tc>
        <w:tc>
          <w:tcPr>
            <w:tcW w:w="1134" w:type="dxa"/>
            <w:shd w:val="clear" w:color="auto" w:fill="B8CCE4" w:themeFill="accent1" w:themeFillTint="66"/>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3118" w:type="dxa"/>
            <w:shd w:val="clear" w:color="auto" w:fill="B8CCE4" w:themeFill="accent1" w:themeFillTint="66"/>
          </w:tcPr>
          <w:p w:rsidR="00987F47" w:rsidRPr="00855652" w:rsidRDefault="00855652" w:rsidP="00855652">
            <w:pPr>
              <w:spacing w:after="0" w:line="240" w:lineRule="auto"/>
              <w:rPr>
                <w:rFonts w:cs="Arial"/>
                <w:bCs/>
                <w:sz w:val="18"/>
                <w:szCs w:val="18"/>
                <w:lang w:val="es-ES_tradnl" w:eastAsia="ja-JP"/>
              </w:rPr>
            </w:pPr>
            <w:r w:rsidRPr="00855652">
              <w:rPr>
                <w:rFonts w:ascii="Calibri" w:hAnsi="Calibri"/>
                <w:sz w:val="18"/>
                <w:szCs w:val="18"/>
              </w:rPr>
              <w:t>S</w:t>
            </w:r>
            <w:r w:rsidR="00987F47" w:rsidRPr="00855652">
              <w:rPr>
                <w:rFonts w:cs="Arial"/>
                <w:bCs/>
                <w:sz w:val="18"/>
                <w:szCs w:val="18"/>
                <w:lang w:val="es-ES_tradnl" w:eastAsia="ja-JP"/>
              </w:rPr>
              <w:t>alas de audiencias</w:t>
            </w:r>
          </w:p>
          <w:p w:rsidR="00987F47" w:rsidRPr="00855652" w:rsidRDefault="00855652" w:rsidP="00855652">
            <w:pPr>
              <w:spacing w:after="0" w:line="240" w:lineRule="auto"/>
              <w:rPr>
                <w:rFonts w:cs="Arial"/>
                <w:bCs/>
                <w:sz w:val="18"/>
                <w:szCs w:val="18"/>
                <w:lang w:val="es-ES_tradnl" w:eastAsia="ja-JP"/>
              </w:rPr>
            </w:pPr>
            <w:r>
              <w:rPr>
                <w:rFonts w:cs="Arial"/>
                <w:bCs/>
                <w:sz w:val="18"/>
                <w:szCs w:val="18"/>
                <w:lang w:val="es-ES_tradnl" w:eastAsia="ja-JP"/>
              </w:rPr>
              <w:t>T</w:t>
            </w:r>
            <w:r w:rsidR="00987F47" w:rsidRPr="00855652">
              <w:rPr>
                <w:rFonts w:cs="Arial"/>
                <w:bCs/>
                <w:sz w:val="18"/>
                <w:szCs w:val="18"/>
                <w:lang w:val="es-ES_tradnl" w:eastAsia="ja-JP"/>
              </w:rPr>
              <w: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987F47" w:rsidTr="001B4014">
        <w:tc>
          <w:tcPr>
            <w:tcW w:w="1985" w:type="dxa"/>
            <w:shd w:val="clear" w:color="auto" w:fill="B8CCE4" w:themeFill="accent1" w:themeFillTint="66"/>
          </w:tcPr>
          <w:p w:rsidR="00987F47" w:rsidRPr="00987F47" w:rsidRDefault="00987F47" w:rsidP="006B73F5">
            <w:pPr>
              <w:jc w:val="center"/>
              <w:rPr>
                <w:rFonts w:ascii="Calibri" w:hAnsi="Calibri"/>
                <w:b/>
                <w:sz w:val="18"/>
                <w:szCs w:val="18"/>
              </w:rPr>
            </w:pPr>
            <w:r w:rsidRPr="00987F47">
              <w:rPr>
                <w:rFonts w:ascii="Calibri" w:hAnsi="Calibri"/>
                <w:b/>
                <w:sz w:val="18"/>
                <w:szCs w:val="18"/>
              </w:rPr>
              <w:t>Neiva</w:t>
            </w:r>
          </w:p>
        </w:tc>
        <w:tc>
          <w:tcPr>
            <w:tcW w:w="1559" w:type="dxa"/>
            <w:shd w:val="clear" w:color="auto" w:fill="B8CCE4" w:themeFill="accent1" w:themeFillTint="66"/>
          </w:tcPr>
          <w:p w:rsidR="00987F47" w:rsidRPr="00987F47" w:rsidRDefault="00987F47" w:rsidP="00AE64A7">
            <w:pPr>
              <w:jc w:val="center"/>
              <w:rPr>
                <w:rFonts w:ascii="Calibri" w:hAnsi="Calibri"/>
                <w:b/>
                <w:sz w:val="18"/>
                <w:szCs w:val="18"/>
              </w:rPr>
            </w:pPr>
          </w:p>
        </w:tc>
        <w:tc>
          <w:tcPr>
            <w:tcW w:w="1418" w:type="dxa"/>
            <w:shd w:val="clear" w:color="auto" w:fill="B8CCE4" w:themeFill="accent1" w:themeFillTint="66"/>
          </w:tcPr>
          <w:p w:rsidR="00987F47" w:rsidRPr="00987F47" w:rsidRDefault="00987F47" w:rsidP="00AE64A7">
            <w:pPr>
              <w:jc w:val="center"/>
              <w:rPr>
                <w:rFonts w:ascii="Calibri" w:hAnsi="Calibri"/>
                <w:sz w:val="18"/>
                <w:szCs w:val="18"/>
              </w:rPr>
            </w:pPr>
          </w:p>
        </w:tc>
        <w:tc>
          <w:tcPr>
            <w:tcW w:w="1134" w:type="dxa"/>
            <w:shd w:val="clear" w:color="auto" w:fill="B8CCE4" w:themeFill="accent1" w:themeFillTint="66"/>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3118" w:type="dxa"/>
            <w:shd w:val="clear" w:color="auto" w:fill="B8CCE4" w:themeFill="accent1" w:themeFillTint="66"/>
          </w:tcPr>
          <w:p w:rsidR="00855652" w:rsidRDefault="00855652" w:rsidP="00855652">
            <w:pPr>
              <w:spacing w:after="0" w:line="240" w:lineRule="auto"/>
              <w:rPr>
                <w:rFonts w:cs="Arial"/>
                <w:bCs/>
                <w:sz w:val="18"/>
                <w:szCs w:val="18"/>
                <w:lang w:val="es-ES_tradnl" w:eastAsia="ja-JP"/>
              </w:rPr>
            </w:pPr>
            <w:r>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Pamplona</w:t>
            </w: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855652" w:rsidRDefault="00855652" w:rsidP="00855652">
            <w:pPr>
              <w:spacing w:after="0" w:line="240" w:lineRule="auto"/>
              <w:rPr>
                <w:rFonts w:cs="Arial"/>
                <w:bCs/>
                <w:sz w:val="18"/>
                <w:szCs w:val="18"/>
                <w:lang w:val="es-ES_tradnl" w:eastAsia="ja-JP"/>
              </w:rPr>
            </w:pPr>
            <w:r>
              <w:rPr>
                <w:rFonts w:cs="Arial"/>
                <w:bCs/>
                <w:sz w:val="18"/>
                <w:szCs w:val="18"/>
                <w:lang w:val="es-ES_tradnl" w:eastAsia="ja-JP"/>
              </w:rPr>
              <w:t>Salas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 xml:space="preserve">Medidas de Descongestión </w:t>
            </w:r>
          </w:p>
          <w:p w:rsidR="00987F47" w:rsidRPr="00987F47" w:rsidRDefault="00987F47" w:rsidP="00855652">
            <w:pPr>
              <w:spacing w:after="0" w:line="240" w:lineRule="auto"/>
              <w:rPr>
                <w:rFonts w:ascii="Calibri" w:hAnsi="Calibri"/>
                <w:b/>
                <w:sz w:val="18"/>
                <w:szCs w:val="18"/>
              </w:rPr>
            </w:pPr>
            <w:r w:rsidRPr="00855652">
              <w:rPr>
                <w:rFonts w:cs="Arial"/>
                <w:bCs/>
                <w:sz w:val="18"/>
                <w:szCs w:val="18"/>
                <w:lang w:val="es-ES_tradnl" w:eastAsia="ja-JP"/>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Pereira</w:t>
            </w: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855652" w:rsidP="00855652">
            <w:pPr>
              <w:spacing w:after="0" w:line="240" w:lineRule="auto"/>
              <w:rPr>
                <w:rFonts w:cs="Arial"/>
                <w:bCs/>
                <w:sz w:val="18"/>
                <w:szCs w:val="18"/>
                <w:lang w:val="es-ES_tradnl" w:eastAsia="ja-JP"/>
              </w:rPr>
            </w:pPr>
            <w:r w:rsidRPr="00855652">
              <w:rPr>
                <w:rFonts w:ascii="Calibri" w:hAnsi="Calibri"/>
                <w:sz w:val="18"/>
                <w:szCs w:val="18"/>
              </w:rPr>
              <w:t>S</w:t>
            </w:r>
            <w:r w:rsidR="00987F47" w:rsidRPr="00855652">
              <w:rPr>
                <w:rFonts w:cs="Arial"/>
                <w:bCs/>
                <w:sz w:val="18"/>
                <w:szCs w:val="18"/>
                <w:lang w:val="es-ES_tradnl" w:eastAsia="ja-JP"/>
              </w:rPr>
              <w:t>alas de audiencias</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Tecnología</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Capacitación</w:t>
            </w:r>
          </w:p>
          <w:p w:rsidR="00987F47" w:rsidRPr="00855652" w:rsidRDefault="00987F47" w:rsidP="00855652">
            <w:pPr>
              <w:spacing w:after="0" w:line="240" w:lineRule="auto"/>
              <w:rPr>
                <w:rFonts w:cs="Arial"/>
                <w:bCs/>
                <w:sz w:val="18"/>
                <w:szCs w:val="18"/>
                <w:lang w:val="es-ES_tradnl" w:eastAsia="ja-JP"/>
              </w:rPr>
            </w:pPr>
            <w:r w:rsidRPr="00855652">
              <w:rPr>
                <w:rFonts w:cs="Arial"/>
                <w:bCs/>
                <w:sz w:val="18"/>
                <w:szCs w:val="18"/>
                <w:lang w:val="es-ES_tradnl" w:eastAsia="ja-JP"/>
              </w:rPr>
              <w:t xml:space="preserve">Medidas de Descongestión </w:t>
            </w:r>
          </w:p>
          <w:p w:rsidR="00987F47" w:rsidRPr="00855652" w:rsidRDefault="00987F47" w:rsidP="00855652">
            <w:pPr>
              <w:spacing w:after="0" w:line="240" w:lineRule="auto"/>
              <w:rPr>
                <w:rFonts w:ascii="Calibri" w:hAnsi="Calibri"/>
                <w:sz w:val="18"/>
                <w:szCs w:val="18"/>
              </w:rPr>
            </w:pPr>
            <w:r w:rsidRPr="00855652">
              <w:rPr>
                <w:rFonts w:cs="Arial"/>
                <w:bCs/>
                <w:sz w:val="18"/>
                <w:szCs w:val="18"/>
                <w:lang w:val="es-ES_tradnl" w:eastAsia="ja-JP"/>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Popayán</w:t>
            </w: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Salas de audiencias</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Tecnología</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Capacitación</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 xml:space="preserve">Medidas de Descongestión </w:t>
            </w:r>
          </w:p>
          <w:p w:rsidR="00987F47" w:rsidRPr="00987F47" w:rsidRDefault="00987F47" w:rsidP="00855652">
            <w:pPr>
              <w:spacing w:after="0" w:line="240" w:lineRule="auto"/>
              <w:rPr>
                <w:rFonts w:ascii="Calibri" w:hAnsi="Calibri"/>
                <w:b/>
                <w:sz w:val="18"/>
                <w:szCs w:val="18"/>
              </w:rPr>
            </w:pPr>
            <w:r w:rsidRPr="00855652">
              <w:rPr>
                <w:rFonts w:ascii="Calibri" w:hAnsi="Calibri"/>
                <w:sz w:val="18"/>
                <w:szCs w:val="18"/>
              </w:rPr>
              <w:t>Creación de cargos permanentes</w:t>
            </w:r>
          </w:p>
        </w:tc>
      </w:tr>
      <w:tr w:rsidR="00987F47" w:rsidRPr="00987F47" w:rsidTr="001B4014">
        <w:tc>
          <w:tcPr>
            <w:tcW w:w="1985" w:type="dxa"/>
            <w:shd w:val="clear" w:color="auto" w:fill="B8CCE4" w:themeFill="accent1" w:themeFillTint="66"/>
          </w:tcPr>
          <w:p w:rsidR="00987F47" w:rsidRPr="00987F47" w:rsidRDefault="00987F47" w:rsidP="006B73F5">
            <w:pPr>
              <w:jc w:val="center"/>
              <w:rPr>
                <w:rFonts w:ascii="Calibri" w:hAnsi="Calibri"/>
                <w:b/>
                <w:sz w:val="18"/>
                <w:szCs w:val="18"/>
              </w:rPr>
            </w:pPr>
            <w:r w:rsidRPr="00987F47">
              <w:rPr>
                <w:rFonts w:ascii="Calibri" w:hAnsi="Calibri"/>
                <w:b/>
                <w:sz w:val="18"/>
                <w:szCs w:val="18"/>
              </w:rPr>
              <w:t>Quibdó</w:t>
            </w:r>
          </w:p>
        </w:tc>
        <w:tc>
          <w:tcPr>
            <w:tcW w:w="1559" w:type="dxa"/>
            <w:shd w:val="clear" w:color="auto" w:fill="B8CCE4" w:themeFill="accent1" w:themeFillTint="66"/>
          </w:tcPr>
          <w:p w:rsidR="00987F47" w:rsidRPr="00987F47" w:rsidRDefault="00987F47" w:rsidP="00AE64A7">
            <w:pPr>
              <w:jc w:val="center"/>
              <w:rPr>
                <w:rFonts w:ascii="Calibri" w:hAnsi="Calibri"/>
                <w:b/>
                <w:sz w:val="18"/>
                <w:szCs w:val="18"/>
              </w:rPr>
            </w:pPr>
          </w:p>
        </w:tc>
        <w:tc>
          <w:tcPr>
            <w:tcW w:w="1418" w:type="dxa"/>
            <w:shd w:val="clear" w:color="auto" w:fill="B8CCE4" w:themeFill="accent1" w:themeFillTint="66"/>
          </w:tcPr>
          <w:p w:rsidR="00987F47" w:rsidRPr="00987F47" w:rsidRDefault="00987F47" w:rsidP="00AE64A7">
            <w:pPr>
              <w:jc w:val="center"/>
              <w:rPr>
                <w:rFonts w:ascii="Calibri" w:hAnsi="Calibri"/>
                <w:sz w:val="18"/>
                <w:szCs w:val="18"/>
              </w:rPr>
            </w:pPr>
          </w:p>
        </w:tc>
        <w:tc>
          <w:tcPr>
            <w:tcW w:w="1134" w:type="dxa"/>
            <w:shd w:val="clear" w:color="auto" w:fill="B8CCE4" w:themeFill="accent1" w:themeFillTint="66"/>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3118" w:type="dxa"/>
            <w:shd w:val="clear" w:color="auto" w:fill="B8CCE4" w:themeFill="accent1" w:themeFillTint="66"/>
          </w:tcPr>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Salas de audiencias</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Tecnología</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Capacitación</w:t>
            </w:r>
          </w:p>
          <w:p w:rsidR="00987F47" w:rsidRPr="00987F47" w:rsidRDefault="00987F47" w:rsidP="00855652">
            <w:pPr>
              <w:spacing w:after="0" w:line="240" w:lineRule="auto"/>
              <w:rPr>
                <w:rFonts w:ascii="Calibri" w:hAnsi="Calibri"/>
                <w:b/>
                <w:sz w:val="18"/>
                <w:szCs w:val="18"/>
              </w:rPr>
            </w:pPr>
            <w:r w:rsidRPr="00855652">
              <w:rPr>
                <w:rFonts w:ascii="Calibri" w:hAnsi="Calibri"/>
                <w:sz w:val="18"/>
                <w:szCs w:val="18"/>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Riohacha</w:t>
            </w: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Salas de audiencias</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Tecnología</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Capacitación</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 xml:space="preserve">Medidas de Descongestión </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San Gil</w:t>
            </w: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Salas de audiencias</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Tecnología</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Capacitación</w:t>
            </w:r>
          </w:p>
          <w:p w:rsidR="00987F47" w:rsidRPr="00560F5D" w:rsidRDefault="00987F47" w:rsidP="00855652">
            <w:pPr>
              <w:spacing w:after="0" w:line="240" w:lineRule="auto"/>
              <w:rPr>
                <w:rFonts w:ascii="Calibri" w:hAnsi="Calibri"/>
                <w:sz w:val="18"/>
                <w:szCs w:val="18"/>
              </w:rPr>
            </w:pPr>
            <w:r w:rsidRPr="00855652">
              <w:rPr>
                <w:rFonts w:ascii="Calibri" w:hAnsi="Calibri"/>
                <w:sz w:val="18"/>
                <w:szCs w:val="18"/>
              </w:rPr>
              <w:t>Creación de cargos permanentes</w:t>
            </w:r>
          </w:p>
        </w:tc>
      </w:tr>
      <w:tr w:rsidR="00987F47" w:rsidRPr="00987F47" w:rsidTr="00855652">
        <w:trPr>
          <w:trHeight w:val="956"/>
        </w:trPr>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Santa Marta</w:t>
            </w:r>
          </w:p>
          <w:p w:rsidR="00987F47" w:rsidRPr="00987F47" w:rsidRDefault="00987F47" w:rsidP="006B73F5">
            <w:pPr>
              <w:jc w:val="center"/>
              <w:rPr>
                <w:rFonts w:ascii="Calibri" w:hAnsi="Calibri"/>
                <w:b/>
                <w:sz w:val="18"/>
                <w:szCs w:val="18"/>
              </w:rPr>
            </w:pPr>
          </w:p>
          <w:p w:rsidR="00987F47" w:rsidRPr="00987F47" w:rsidRDefault="00987F47" w:rsidP="006B73F5">
            <w:pPr>
              <w:jc w:val="center"/>
              <w:rPr>
                <w:rFonts w:ascii="Calibri" w:hAnsi="Calibri"/>
                <w:b/>
                <w:sz w:val="18"/>
                <w:szCs w:val="18"/>
              </w:rPr>
            </w:pP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Tecnología</w:t>
            </w:r>
          </w:p>
          <w:p w:rsidR="00987F47" w:rsidRPr="00855652" w:rsidRDefault="00855652" w:rsidP="00855652">
            <w:pPr>
              <w:spacing w:after="0" w:line="240" w:lineRule="auto"/>
              <w:rPr>
                <w:rFonts w:ascii="Calibri" w:hAnsi="Calibri"/>
                <w:sz w:val="18"/>
                <w:szCs w:val="18"/>
              </w:rPr>
            </w:pPr>
            <w:r w:rsidRPr="00855652">
              <w:rPr>
                <w:rFonts w:ascii="Calibri" w:hAnsi="Calibri"/>
                <w:sz w:val="18"/>
                <w:szCs w:val="18"/>
              </w:rPr>
              <w:t>C</w:t>
            </w:r>
            <w:r w:rsidR="00987F47" w:rsidRPr="00855652">
              <w:rPr>
                <w:rFonts w:ascii="Calibri" w:hAnsi="Calibri"/>
                <w:sz w:val="18"/>
                <w:szCs w:val="18"/>
              </w:rPr>
              <w:t>apacitación</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 xml:space="preserve">Medidas de Descongestión </w:t>
            </w:r>
          </w:p>
          <w:p w:rsidR="00855652" w:rsidRPr="00560F5D" w:rsidRDefault="00987F47" w:rsidP="00855652">
            <w:pPr>
              <w:spacing w:after="0" w:line="240" w:lineRule="auto"/>
              <w:rPr>
                <w:rFonts w:ascii="Calibri" w:hAnsi="Calibri"/>
                <w:sz w:val="18"/>
                <w:szCs w:val="18"/>
              </w:rPr>
            </w:pPr>
            <w:r w:rsidRPr="00855652">
              <w:rPr>
                <w:rFonts w:ascii="Calibri" w:hAnsi="Calibri"/>
                <w:sz w:val="18"/>
                <w:szCs w:val="18"/>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Sincelejo</w:t>
            </w: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Salas de audiencias</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Tecnología</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Capacitación</w:t>
            </w:r>
          </w:p>
          <w:p w:rsidR="00987F47" w:rsidRPr="00987F47" w:rsidRDefault="00987F47" w:rsidP="00855652">
            <w:pPr>
              <w:spacing w:after="0" w:line="240" w:lineRule="auto"/>
              <w:rPr>
                <w:rFonts w:ascii="Calibri" w:hAnsi="Calibri"/>
                <w:b/>
                <w:sz w:val="18"/>
                <w:szCs w:val="18"/>
              </w:rPr>
            </w:pPr>
            <w:r w:rsidRPr="00855652">
              <w:rPr>
                <w:rFonts w:ascii="Calibri" w:hAnsi="Calibri"/>
                <w:sz w:val="18"/>
                <w:szCs w:val="18"/>
              </w:rPr>
              <w:t>Creación de cargos permanentes</w:t>
            </w:r>
          </w:p>
        </w:tc>
      </w:tr>
      <w:tr w:rsidR="00987F47" w:rsidRPr="00987F47" w:rsidTr="00AE64A7">
        <w:tc>
          <w:tcPr>
            <w:tcW w:w="1985" w:type="dxa"/>
          </w:tcPr>
          <w:p w:rsidR="00987F47" w:rsidRPr="00987F47" w:rsidRDefault="00987F47" w:rsidP="006B73F5">
            <w:pPr>
              <w:jc w:val="center"/>
              <w:rPr>
                <w:rFonts w:ascii="Calibri" w:hAnsi="Calibri"/>
                <w:b/>
                <w:sz w:val="18"/>
                <w:szCs w:val="18"/>
              </w:rPr>
            </w:pPr>
            <w:r w:rsidRPr="00987F47">
              <w:rPr>
                <w:rFonts w:ascii="Calibri" w:hAnsi="Calibri"/>
                <w:b/>
                <w:sz w:val="18"/>
                <w:szCs w:val="18"/>
              </w:rPr>
              <w:t>Valledupar</w:t>
            </w:r>
          </w:p>
          <w:p w:rsidR="00987F47" w:rsidRPr="00987F47" w:rsidRDefault="00987F47" w:rsidP="006B73F5">
            <w:pPr>
              <w:jc w:val="center"/>
              <w:rPr>
                <w:rFonts w:ascii="Calibri" w:hAnsi="Calibri"/>
                <w:b/>
                <w:sz w:val="18"/>
                <w:szCs w:val="18"/>
              </w:rPr>
            </w:pPr>
          </w:p>
        </w:tc>
        <w:tc>
          <w:tcPr>
            <w:tcW w:w="1559" w:type="dxa"/>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1418" w:type="dxa"/>
          </w:tcPr>
          <w:p w:rsidR="00987F47" w:rsidRPr="00987F47" w:rsidRDefault="00987F47" w:rsidP="00AE64A7">
            <w:pPr>
              <w:jc w:val="center"/>
              <w:rPr>
                <w:rFonts w:ascii="Calibri" w:hAnsi="Calibri"/>
                <w:sz w:val="18"/>
                <w:szCs w:val="18"/>
              </w:rPr>
            </w:pPr>
          </w:p>
        </w:tc>
        <w:tc>
          <w:tcPr>
            <w:tcW w:w="1134" w:type="dxa"/>
          </w:tcPr>
          <w:p w:rsidR="00987F47" w:rsidRPr="00987F47" w:rsidRDefault="00987F47" w:rsidP="00AE64A7">
            <w:pPr>
              <w:jc w:val="center"/>
              <w:rPr>
                <w:rFonts w:ascii="Calibri" w:hAnsi="Calibri"/>
                <w:b/>
                <w:sz w:val="18"/>
                <w:szCs w:val="18"/>
              </w:rPr>
            </w:pPr>
          </w:p>
        </w:tc>
        <w:tc>
          <w:tcPr>
            <w:tcW w:w="3118" w:type="dxa"/>
          </w:tcPr>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Tecnología</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Capacitación</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 xml:space="preserve">Medidas de Descongestión </w:t>
            </w:r>
          </w:p>
          <w:p w:rsidR="00987F47" w:rsidRPr="00987F47" w:rsidRDefault="00987F47" w:rsidP="00855652">
            <w:pPr>
              <w:spacing w:after="0" w:line="240" w:lineRule="auto"/>
              <w:rPr>
                <w:rFonts w:ascii="Calibri" w:hAnsi="Calibri"/>
                <w:b/>
                <w:sz w:val="18"/>
                <w:szCs w:val="18"/>
              </w:rPr>
            </w:pPr>
            <w:r w:rsidRPr="00855652">
              <w:rPr>
                <w:rFonts w:ascii="Calibri" w:hAnsi="Calibri"/>
                <w:sz w:val="18"/>
                <w:szCs w:val="18"/>
              </w:rPr>
              <w:t>Creación de cargos permanentes</w:t>
            </w:r>
          </w:p>
        </w:tc>
      </w:tr>
      <w:tr w:rsidR="00987F47" w:rsidRPr="00987F47" w:rsidTr="001B4014">
        <w:tc>
          <w:tcPr>
            <w:tcW w:w="1985" w:type="dxa"/>
            <w:shd w:val="clear" w:color="auto" w:fill="B8CCE4" w:themeFill="accent1" w:themeFillTint="66"/>
          </w:tcPr>
          <w:p w:rsidR="00987F47" w:rsidRPr="00987F47" w:rsidRDefault="00987F47" w:rsidP="006B73F5">
            <w:pPr>
              <w:jc w:val="center"/>
              <w:rPr>
                <w:rFonts w:ascii="Calibri" w:hAnsi="Calibri"/>
                <w:b/>
                <w:sz w:val="18"/>
                <w:szCs w:val="18"/>
              </w:rPr>
            </w:pPr>
            <w:r w:rsidRPr="00987F47">
              <w:rPr>
                <w:rFonts w:ascii="Calibri" w:hAnsi="Calibri"/>
                <w:b/>
                <w:sz w:val="18"/>
                <w:szCs w:val="18"/>
              </w:rPr>
              <w:t>Villavicencio</w:t>
            </w:r>
          </w:p>
        </w:tc>
        <w:tc>
          <w:tcPr>
            <w:tcW w:w="1559" w:type="dxa"/>
            <w:shd w:val="clear" w:color="auto" w:fill="B8CCE4" w:themeFill="accent1" w:themeFillTint="66"/>
          </w:tcPr>
          <w:p w:rsidR="00987F47" w:rsidRPr="00987F47" w:rsidRDefault="00987F47" w:rsidP="00AE64A7">
            <w:pPr>
              <w:jc w:val="center"/>
              <w:rPr>
                <w:rFonts w:ascii="Calibri" w:hAnsi="Calibri"/>
                <w:b/>
                <w:sz w:val="18"/>
                <w:szCs w:val="18"/>
              </w:rPr>
            </w:pPr>
          </w:p>
        </w:tc>
        <w:tc>
          <w:tcPr>
            <w:tcW w:w="1418" w:type="dxa"/>
            <w:shd w:val="clear" w:color="auto" w:fill="B8CCE4" w:themeFill="accent1" w:themeFillTint="66"/>
          </w:tcPr>
          <w:p w:rsidR="00987F47" w:rsidRPr="00987F47" w:rsidRDefault="00987F47" w:rsidP="00AE64A7">
            <w:pPr>
              <w:jc w:val="center"/>
              <w:rPr>
                <w:rFonts w:ascii="Calibri" w:hAnsi="Calibri"/>
                <w:sz w:val="18"/>
                <w:szCs w:val="18"/>
              </w:rPr>
            </w:pPr>
          </w:p>
        </w:tc>
        <w:tc>
          <w:tcPr>
            <w:tcW w:w="1134" w:type="dxa"/>
            <w:shd w:val="clear" w:color="auto" w:fill="B8CCE4" w:themeFill="accent1" w:themeFillTint="66"/>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3118" w:type="dxa"/>
            <w:shd w:val="clear" w:color="auto" w:fill="B8CCE4" w:themeFill="accent1" w:themeFillTint="66"/>
          </w:tcPr>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Salas de audiencias</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Tecnología</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Capacitación</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 xml:space="preserve">Medidas de Descongestión </w:t>
            </w:r>
          </w:p>
          <w:p w:rsidR="00987F47" w:rsidRPr="00987F47" w:rsidRDefault="00987F47" w:rsidP="00855652">
            <w:pPr>
              <w:spacing w:after="0" w:line="240" w:lineRule="auto"/>
              <w:rPr>
                <w:rFonts w:ascii="Calibri" w:hAnsi="Calibri"/>
                <w:b/>
                <w:sz w:val="18"/>
                <w:szCs w:val="18"/>
              </w:rPr>
            </w:pPr>
            <w:r w:rsidRPr="00855652">
              <w:rPr>
                <w:rFonts w:ascii="Calibri" w:hAnsi="Calibri"/>
                <w:sz w:val="18"/>
                <w:szCs w:val="18"/>
              </w:rPr>
              <w:t>Creación de cargos permanentes</w:t>
            </w:r>
          </w:p>
        </w:tc>
      </w:tr>
      <w:tr w:rsidR="00987F47" w:rsidRPr="00987F47" w:rsidTr="001B4014">
        <w:tc>
          <w:tcPr>
            <w:tcW w:w="1985" w:type="dxa"/>
            <w:shd w:val="clear" w:color="auto" w:fill="B8CCE4" w:themeFill="accent1" w:themeFillTint="66"/>
          </w:tcPr>
          <w:p w:rsidR="00987F47" w:rsidRPr="00987F47" w:rsidRDefault="00987F47" w:rsidP="006B73F5">
            <w:pPr>
              <w:jc w:val="center"/>
              <w:rPr>
                <w:rFonts w:ascii="Calibri" w:hAnsi="Calibri"/>
                <w:b/>
                <w:sz w:val="18"/>
                <w:szCs w:val="18"/>
              </w:rPr>
            </w:pPr>
            <w:r w:rsidRPr="00987F47">
              <w:rPr>
                <w:rFonts w:ascii="Calibri" w:hAnsi="Calibri"/>
                <w:b/>
                <w:sz w:val="18"/>
                <w:szCs w:val="18"/>
              </w:rPr>
              <w:t>Yopal</w:t>
            </w:r>
          </w:p>
        </w:tc>
        <w:tc>
          <w:tcPr>
            <w:tcW w:w="1559" w:type="dxa"/>
            <w:shd w:val="clear" w:color="auto" w:fill="B8CCE4" w:themeFill="accent1" w:themeFillTint="66"/>
          </w:tcPr>
          <w:p w:rsidR="00987F47" w:rsidRPr="00987F47" w:rsidRDefault="00987F47" w:rsidP="00AE64A7">
            <w:pPr>
              <w:jc w:val="center"/>
              <w:rPr>
                <w:rFonts w:ascii="Calibri" w:hAnsi="Calibri"/>
                <w:b/>
                <w:sz w:val="18"/>
                <w:szCs w:val="18"/>
              </w:rPr>
            </w:pPr>
          </w:p>
        </w:tc>
        <w:tc>
          <w:tcPr>
            <w:tcW w:w="1418" w:type="dxa"/>
            <w:shd w:val="clear" w:color="auto" w:fill="B8CCE4" w:themeFill="accent1" w:themeFillTint="66"/>
          </w:tcPr>
          <w:p w:rsidR="00987F47" w:rsidRPr="00987F47" w:rsidRDefault="00987F47" w:rsidP="00AE64A7">
            <w:pPr>
              <w:jc w:val="center"/>
              <w:rPr>
                <w:rFonts w:ascii="Calibri" w:hAnsi="Calibri"/>
                <w:sz w:val="18"/>
                <w:szCs w:val="18"/>
              </w:rPr>
            </w:pPr>
          </w:p>
        </w:tc>
        <w:tc>
          <w:tcPr>
            <w:tcW w:w="1134" w:type="dxa"/>
            <w:shd w:val="clear" w:color="auto" w:fill="B8CCE4" w:themeFill="accent1" w:themeFillTint="66"/>
          </w:tcPr>
          <w:p w:rsidR="00987F47" w:rsidRPr="00987F47" w:rsidRDefault="00987F47" w:rsidP="00AE64A7">
            <w:pPr>
              <w:jc w:val="center"/>
              <w:rPr>
                <w:rFonts w:ascii="Calibri" w:hAnsi="Calibri"/>
                <w:b/>
                <w:sz w:val="18"/>
                <w:szCs w:val="18"/>
              </w:rPr>
            </w:pPr>
            <w:r w:rsidRPr="00987F47">
              <w:rPr>
                <w:rFonts w:ascii="Calibri" w:hAnsi="Calibri"/>
                <w:b/>
                <w:sz w:val="18"/>
                <w:szCs w:val="18"/>
              </w:rPr>
              <w:t>X</w:t>
            </w:r>
          </w:p>
        </w:tc>
        <w:tc>
          <w:tcPr>
            <w:tcW w:w="3118" w:type="dxa"/>
            <w:shd w:val="clear" w:color="auto" w:fill="B8CCE4" w:themeFill="accent1" w:themeFillTint="66"/>
          </w:tcPr>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Salas de audiencias</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Tecnología</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Capacitación</w:t>
            </w:r>
          </w:p>
          <w:p w:rsidR="00987F47" w:rsidRPr="00855652" w:rsidRDefault="00987F47" w:rsidP="00855652">
            <w:pPr>
              <w:spacing w:after="0" w:line="240" w:lineRule="auto"/>
              <w:rPr>
                <w:rFonts w:ascii="Calibri" w:hAnsi="Calibri"/>
                <w:sz w:val="18"/>
                <w:szCs w:val="18"/>
              </w:rPr>
            </w:pPr>
            <w:r w:rsidRPr="00855652">
              <w:rPr>
                <w:rFonts w:ascii="Calibri" w:hAnsi="Calibri"/>
                <w:sz w:val="18"/>
                <w:szCs w:val="18"/>
              </w:rPr>
              <w:t xml:space="preserve">Medidas de Descongestión </w:t>
            </w:r>
          </w:p>
          <w:p w:rsidR="00987F47" w:rsidRPr="00855652" w:rsidRDefault="00987F47" w:rsidP="00AE64A7">
            <w:pPr>
              <w:rPr>
                <w:rFonts w:ascii="Calibri" w:hAnsi="Calibri"/>
                <w:sz w:val="18"/>
                <w:szCs w:val="18"/>
              </w:rPr>
            </w:pPr>
            <w:r w:rsidRPr="00855652">
              <w:rPr>
                <w:rFonts w:ascii="Calibri" w:hAnsi="Calibri"/>
                <w:sz w:val="18"/>
                <w:szCs w:val="18"/>
              </w:rPr>
              <w:t>Creación de cargos permanentes</w:t>
            </w:r>
          </w:p>
        </w:tc>
      </w:tr>
    </w:tbl>
    <w:p w:rsidR="00987F47" w:rsidRPr="00987F47" w:rsidRDefault="00987F47" w:rsidP="00987F47">
      <w:pPr>
        <w:rPr>
          <w:rFonts w:ascii="Calibri" w:hAnsi="Calibri"/>
          <w:sz w:val="18"/>
          <w:szCs w:val="18"/>
        </w:rPr>
      </w:pPr>
    </w:p>
    <w:p w:rsidR="00274C7D" w:rsidRPr="005D6CD3" w:rsidRDefault="005D6CD3" w:rsidP="005D6CD3">
      <w:pPr>
        <w:adjustRightInd w:val="0"/>
        <w:spacing w:line="360" w:lineRule="auto"/>
        <w:jc w:val="center"/>
        <w:textAlignment w:val="baseline"/>
        <w:rPr>
          <w:rFonts w:ascii="Book Antiqua" w:hAnsi="Book Antiqua"/>
          <w:b/>
          <w:color w:val="000000"/>
          <w:sz w:val="24"/>
          <w:szCs w:val="24"/>
        </w:rPr>
      </w:pPr>
      <w:r w:rsidRPr="005D6CD3">
        <w:rPr>
          <w:rFonts w:ascii="Book Antiqua" w:hAnsi="Book Antiqua"/>
          <w:b/>
          <w:color w:val="000000"/>
          <w:sz w:val="24"/>
          <w:szCs w:val="24"/>
        </w:rPr>
        <w:lastRenderedPageBreak/>
        <w:t>Consolidado de Distritos Judiciales</w:t>
      </w:r>
    </w:p>
    <w:tbl>
      <w:tblPr>
        <w:tblStyle w:val="Tablaconcuadrcula"/>
        <w:tblW w:w="9213" w:type="dxa"/>
        <w:tblLayout w:type="fixed"/>
        <w:tblLook w:val="04A0" w:firstRow="1" w:lastRow="0" w:firstColumn="1" w:lastColumn="0" w:noHBand="0" w:noVBand="1"/>
      </w:tblPr>
      <w:tblGrid>
        <w:gridCol w:w="1417"/>
        <w:gridCol w:w="567"/>
        <w:gridCol w:w="567"/>
        <w:gridCol w:w="567"/>
        <w:gridCol w:w="567"/>
        <w:gridCol w:w="567"/>
        <w:gridCol w:w="709"/>
        <w:gridCol w:w="709"/>
        <w:gridCol w:w="850"/>
        <w:gridCol w:w="567"/>
        <w:gridCol w:w="567"/>
        <w:gridCol w:w="1559"/>
      </w:tblGrid>
      <w:tr w:rsidR="00987F47" w:rsidRPr="005D6CD3" w:rsidTr="00AE64A7">
        <w:tc>
          <w:tcPr>
            <w:tcW w:w="1417" w:type="dxa"/>
            <w:shd w:val="clear" w:color="auto" w:fill="A6A6A6" w:themeFill="background1" w:themeFillShade="A6"/>
          </w:tcPr>
          <w:p w:rsidR="00987F47" w:rsidRPr="005D6CD3" w:rsidRDefault="00987F47" w:rsidP="00AE64A7">
            <w:pPr>
              <w:jc w:val="center"/>
              <w:rPr>
                <w:b/>
                <w:sz w:val="18"/>
                <w:szCs w:val="18"/>
              </w:rPr>
            </w:pPr>
          </w:p>
          <w:p w:rsidR="00987F47" w:rsidRPr="005D6CD3" w:rsidRDefault="00987F47" w:rsidP="00AE64A7">
            <w:pPr>
              <w:jc w:val="center"/>
              <w:rPr>
                <w:b/>
                <w:sz w:val="18"/>
                <w:szCs w:val="18"/>
              </w:rPr>
            </w:pPr>
            <w:r w:rsidRPr="005D6CD3">
              <w:rPr>
                <w:b/>
                <w:sz w:val="18"/>
                <w:szCs w:val="18"/>
              </w:rPr>
              <w:t>Distrito  Judicial</w:t>
            </w:r>
          </w:p>
        </w:tc>
        <w:tc>
          <w:tcPr>
            <w:tcW w:w="1134" w:type="dxa"/>
            <w:gridSpan w:val="2"/>
            <w:shd w:val="clear" w:color="auto" w:fill="A6A6A6" w:themeFill="background1" w:themeFillShade="A6"/>
          </w:tcPr>
          <w:p w:rsidR="00987F47" w:rsidRPr="005D6CD3" w:rsidRDefault="00987F47" w:rsidP="00AE64A7">
            <w:pPr>
              <w:jc w:val="center"/>
              <w:rPr>
                <w:b/>
                <w:sz w:val="18"/>
                <w:szCs w:val="18"/>
              </w:rPr>
            </w:pPr>
            <w:r w:rsidRPr="005D6CD3">
              <w:rPr>
                <w:b/>
                <w:sz w:val="18"/>
                <w:szCs w:val="18"/>
              </w:rPr>
              <w:t>Faltan Salas de Audiencias</w:t>
            </w:r>
          </w:p>
        </w:tc>
        <w:tc>
          <w:tcPr>
            <w:tcW w:w="1134" w:type="dxa"/>
            <w:gridSpan w:val="2"/>
            <w:shd w:val="clear" w:color="auto" w:fill="A6A6A6" w:themeFill="background1" w:themeFillShade="A6"/>
          </w:tcPr>
          <w:p w:rsidR="00987F47" w:rsidRPr="005D6CD3" w:rsidRDefault="00987F47" w:rsidP="00AE64A7">
            <w:pPr>
              <w:jc w:val="center"/>
              <w:rPr>
                <w:b/>
                <w:sz w:val="18"/>
                <w:szCs w:val="18"/>
              </w:rPr>
            </w:pPr>
            <w:r w:rsidRPr="005D6CD3">
              <w:rPr>
                <w:b/>
                <w:sz w:val="18"/>
                <w:szCs w:val="18"/>
              </w:rPr>
              <w:t>Falta  Tecnología</w:t>
            </w:r>
          </w:p>
        </w:tc>
        <w:tc>
          <w:tcPr>
            <w:tcW w:w="1276" w:type="dxa"/>
            <w:gridSpan w:val="2"/>
            <w:shd w:val="clear" w:color="auto" w:fill="A6A6A6" w:themeFill="background1" w:themeFillShade="A6"/>
          </w:tcPr>
          <w:p w:rsidR="00987F47" w:rsidRPr="005D6CD3" w:rsidRDefault="00987F47" w:rsidP="00AE64A7">
            <w:pPr>
              <w:jc w:val="center"/>
              <w:rPr>
                <w:b/>
                <w:sz w:val="18"/>
                <w:szCs w:val="18"/>
              </w:rPr>
            </w:pPr>
            <w:r w:rsidRPr="005D6CD3">
              <w:rPr>
                <w:b/>
                <w:sz w:val="18"/>
                <w:szCs w:val="18"/>
              </w:rPr>
              <w:t>Falta Capacitación</w:t>
            </w:r>
          </w:p>
        </w:tc>
        <w:tc>
          <w:tcPr>
            <w:tcW w:w="1559" w:type="dxa"/>
            <w:gridSpan w:val="2"/>
            <w:shd w:val="clear" w:color="auto" w:fill="A6A6A6" w:themeFill="background1" w:themeFillShade="A6"/>
          </w:tcPr>
          <w:p w:rsidR="00987F47" w:rsidRPr="005D6CD3" w:rsidRDefault="00987F47" w:rsidP="00AE64A7">
            <w:pPr>
              <w:rPr>
                <w:b/>
                <w:sz w:val="18"/>
                <w:szCs w:val="18"/>
              </w:rPr>
            </w:pPr>
            <w:r w:rsidRPr="005D6CD3">
              <w:rPr>
                <w:b/>
                <w:sz w:val="18"/>
                <w:szCs w:val="18"/>
              </w:rPr>
              <w:t>Faltan medidas de descongestión</w:t>
            </w:r>
          </w:p>
        </w:tc>
        <w:tc>
          <w:tcPr>
            <w:tcW w:w="1134" w:type="dxa"/>
            <w:gridSpan w:val="2"/>
            <w:shd w:val="clear" w:color="auto" w:fill="A6A6A6" w:themeFill="background1" w:themeFillShade="A6"/>
          </w:tcPr>
          <w:p w:rsidR="00987F47" w:rsidRPr="005D6CD3" w:rsidRDefault="00987F47" w:rsidP="00AE64A7">
            <w:pPr>
              <w:jc w:val="center"/>
              <w:rPr>
                <w:b/>
                <w:sz w:val="18"/>
                <w:szCs w:val="18"/>
              </w:rPr>
            </w:pPr>
            <w:r w:rsidRPr="005D6CD3">
              <w:rPr>
                <w:b/>
                <w:sz w:val="18"/>
                <w:szCs w:val="18"/>
              </w:rPr>
              <w:t xml:space="preserve">Falta   Creación de cargos  </w:t>
            </w:r>
          </w:p>
        </w:tc>
        <w:tc>
          <w:tcPr>
            <w:tcW w:w="1559" w:type="dxa"/>
            <w:shd w:val="clear" w:color="auto" w:fill="A6A6A6" w:themeFill="background1" w:themeFillShade="A6"/>
          </w:tcPr>
          <w:p w:rsidR="00987F47" w:rsidRPr="005D6CD3" w:rsidRDefault="00987F47" w:rsidP="00AE64A7">
            <w:pPr>
              <w:jc w:val="center"/>
              <w:rPr>
                <w:b/>
                <w:sz w:val="18"/>
                <w:szCs w:val="18"/>
              </w:rPr>
            </w:pPr>
          </w:p>
          <w:p w:rsidR="00987F47" w:rsidRPr="005D6CD3" w:rsidRDefault="00987F47" w:rsidP="00AE64A7">
            <w:pPr>
              <w:jc w:val="center"/>
              <w:rPr>
                <w:b/>
                <w:sz w:val="18"/>
                <w:szCs w:val="18"/>
              </w:rPr>
            </w:pPr>
            <w:r w:rsidRPr="005D6CD3">
              <w:rPr>
                <w:b/>
                <w:sz w:val="18"/>
                <w:szCs w:val="18"/>
              </w:rPr>
              <w:t xml:space="preserve">Observaciones </w:t>
            </w:r>
          </w:p>
          <w:p w:rsidR="00987F47" w:rsidRPr="005D6CD3" w:rsidRDefault="00987F47" w:rsidP="00AE64A7">
            <w:pPr>
              <w:rPr>
                <w:b/>
                <w:sz w:val="18"/>
                <w:szCs w:val="18"/>
              </w:rPr>
            </w:pPr>
          </w:p>
        </w:tc>
      </w:tr>
      <w:tr w:rsidR="00987F47" w:rsidTr="005D6CD3">
        <w:trPr>
          <w:trHeight w:val="470"/>
        </w:trPr>
        <w:tc>
          <w:tcPr>
            <w:tcW w:w="1417" w:type="dxa"/>
          </w:tcPr>
          <w:p w:rsidR="00987F47" w:rsidRPr="005D6CD3" w:rsidRDefault="00987F47" w:rsidP="006B73F5">
            <w:pPr>
              <w:jc w:val="center"/>
              <w:rPr>
                <w:b/>
                <w:sz w:val="18"/>
                <w:szCs w:val="18"/>
              </w:rPr>
            </w:pPr>
            <w:r w:rsidRPr="005D6CD3">
              <w:rPr>
                <w:b/>
                <w:sz w:val="18"/>
                <w:szCs w:val="18"/>
              </w:rPr>
              <w:t>Antioquia</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Pr="00457C89" w:rsidRDefault="00987F47" w:rsidP="00AE64A7">
            <w:pPr>
              <w:rPr>
                <w:b/>
              </w:rPr>
            </w:pPr>
          </w:p>
        </w:tc>
        <w:tc>
          <w:tcPr>
            <w:tcW w:w="567" w:type="dxa"/>
            <w:shd w:val="clear" w:color="auto" w:fill="FFFF00"/>
          </w:tcPr>
          <w:p w:rsidR="00987F47" w:rsidRPr="00457C89"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Arauca</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Arc. San Andrés</w:t>
            </w:r>
          </w:p>
        </w:tc>
        <w:tc>
          <w:tcPr>
            <w:tcW w:w="567" w:type="dxa"/>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auto"/>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Armenia</w:t>
            </w:r>
          </w:p>
        </w:tc>
        <w:tc>
          <w:tcPr>
            <w:tcW w:w="567" w:type="dxa"/>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Barranquilla</w:t>
            </w:r>
          </w:p>
        </w:tc>
        <w:tc>
          <w:tcPr>
            <w:tcW w:w="567" w:type="dxa"/>
          </w:tcPr>
          <w:p w:rsidR="00987F47" w:rsidRDefault="00987F47" w:rsidP="00AE64A7">
            <w:pPr>
              <w:rPr>
                <w:b/>
              </w:rPr>
            </w:pPr>
          </w:p>
        </w:tc>
        <w:tc>
          <w:tcPr>
            <w:tcW w:w="567" w:type="dxa"/>
            <w:shd w:val="clear" w:color="auto" w:fill="FF0000"/>
          </w:tcPr>
          <w:p w:rsidR="00987F47" w:rsidRPr="00C22FBD" w:rsidRDefault="00987F47" w:rsidP="00AE64A7">
            <w:pPr>
              <w:rPr>
                <w:b/>
                <w:color w:val="FF0000"/>
              </w:rPr>
            </w:pPr>
          </w:p>
        </w:tc>
        <w:tc>
          <w:tcPr>
            <w:tcW w:w="567" w:type="dxa"/>
            <w:shd w:val="clear" w:color="auto" w:fill="FFFFFF" w:themeFill="background1"/>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5D6CD3">
        <w:trPr>
          <w:trHeight w:val="135"/>
        </w:trPr>
        <w:tc>
          <w:tcPr>
            <w:tcW w:w="1417" w:type="dxa"/>
            <w:shd w:val="clear" w:color="auto" w:fill="FFFFFF" w:themeFill="background1"/>
          </w:tcPr>
          <w:p w:rsidR="00987F47" w:rsidRPr="005D6CD3" w:rsidRDefault="00987F47" w:rsidP="006B73F5">
            <w:pPr>
              <w:jc w:val="center"/>
              <w:rPr>
                <w:b/>
                <w:sz w:val="18"/>
                <w:szCs w:val="18"/>
              </w:rPr>
            </w:pPr>
            <w:r w:rsidRPr="005D6CD3">
              <w:rPr>
                <w:b/>
                <w:sz w:val="18"/>
                <w:szCs w:val="18"/>
              </w:rPr>
              <w:t>Bogotá</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shd w:val="clear" w:color="auto" w:fill="FFFFFF" w:themeFill="background1"/>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Bucaramanga</w:t>
            </w:r>
          </w:p>
        </w:tc>
        <w:tc>
          <w:tcPr>
            <w:tcW w:w="567" w:type="dxa"/>
            <w:shd w:val="clear" w:color="auto" w:fill="FF0000"/>
          </w:tcPr>
          <w:p w:rsidR="00987F47" w:rsidRPr="00A11DEB" w:rsidRDefault="00987F47" w:rsidP="00AE64A7">
            <w:pPr>
              <w:rPr>
                <w:b/>
                <w:color w:val="FF0000"/>
              </w:rPr>
            </w:pPr>
          </w:p>
        </w:tc>
        <w:tc>
          <w:tcPr>
            <w:tcW w:w="567" w:type="dxa"/>
            <w:shd w:val="clear" w:color="auto" w:fill="FF0000"/>
          </w:tcPr>
          <w:p w:rsidR="00987F47" w:rsidRPr="00A11DEB" w:rsidRDefault="00987F47" w:rsidP="00AE64A7">
            <w:pPr>
              <w:rPr>
                <w:b/>
                <w:color w:val="FF0000"/>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FFFFFF" w:themeFill="background1"/>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5D6CD3">
        <w:trPr>
          <w:trHeight w:val="135"/>
        </w:trPr>
        <w:tc>
          <w:tcPr>
            <w:tcW w:w="1417" w:type="dxa"/>
          </w:tcPr>
          <w:p w:rsidR="00987F47" w:rsidRPr="005D6CD3" w:rsidRDefault="00987F47" w:rsidP="006B73F5">
            <w:pPr>
              <w:jc w:val="center"/>
              <w:rPr>
                <w:b/>
                <w:sz w:val="18"/>
                <w:szCs w:val="18"/>
              </w:rPr>
            </w:pPr>
            <w:r w:rsidRPr="005D6CD3">
              <w:rPr>
                <w:b/>
                <w:sz w:val="18"/>
                <w:szCs w:val="18"/>
              </w:rPr>
              <w:t>Buga</w:t>
            </w:r>
          </w:p>
        </w:tc>
        <w:tc>
          <w:tcPr>
            <w:tcW w:w="567" w:type="dxa"/>
            <w:shd w:val="clear" w:color="auto" w:fill="FF0000"/>
          </w:tcPr>
          <w:p w:rsidR="00987F47" w:rsidRPr="00DA19F0" w:rsidRDefault="00987F47" w:rsidP="00AE64A7">
            <w:pPr>
              <w:rPr>
                <w:b/>
                <w:color w:val="FF0000"/>
              </w:rPr>
            </w:pPr>
          </w:p>
        </w:tc>
        <w:tc>
          <w:tcPr>
            <w:tcW w:w="567" w:type="dxa"/>
            <w:shd w:val="clear" w:color="auto" w:fill="FF0000"/>
          </w:tcPr>
          <w:p w:rsidR="00987F47" w:rsidRPr="00DA19F0" w:rsidRDefault="00987F47" w:rsidP="00AE64A7">
            <w:pPr>
              <w:rPr>
                <w:b/>
                <w:color w:val="FF0000"/>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Cúcuta</w:t>
            </w:r>
          </w:p>
        </w:tc>
        <w:tc>
          <w:tcPr>
            <w:tcW w:w="567" w:type="dxa"/>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Cundinamarca</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FFFFFF" w:themeFill="background1"/>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Florencia</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Ibagué</w:t>
            </w:r>
          </w:p>
        </w:tc>
        <w:tc>
          <w:tcPr>
            <w:tcW w:w="567" w:type="dxa"/>
            <w:shd w:val="clear" w:color="auto" w:fill="FF0000"/>
          </w:tcPr>
          <w:p w:rsidR="00987F47" w:rsidRPr="00A11DEB" w:rsidRDefault="00987F47" w:rsidP="00AE64A7">
            <w:pPr>
              <w:rPr>
                <w:b/>
                <w:color w:val="FF0000"/>
              </w:rPr>
            </w:pPr>
          </w:p>
        </w:tc>
        <w:tc>
          <w:tcPr>
            <w:tcW w:w="567" w:type="dxa"/>
            <w:shd w:val="clear" w:color="auto" w:fill="FF0000"/>
          </w:tcPr>
          <w:p w:rsidR="00987F47" w:rsidRPr="00A11DEB" w:rsidRDefault="00987F47" w:rsidP="00AE64A7">
            <w:pPr>
              <w:rPr>
                <w:b/>
                <w:color w:val="FF0000"/>
              </w:rPr>
            </w:pPr>
          </w:p>
        </w:tc>
        <w:tc>
          <w:tcPr>
            <w:tcW w:w="567" w:type="dxa"/>
            <w:shd w:val="clear" w:color="auto" w:fill="FFFFFF" w:themeFill="background1"/>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Manizales</w:t>
            </w:r>
          </w:p>
        </w:tc>
        <w:tc>
          <w:tcPr>
            <w:tcW w:w="567" w:type="dxa"/>
            <w:shd w:val="clear" w:color="auto" w:fill="FF0000"/>
          </w:tcPr>
          <w:p w:rsidR="00987F47" w:rsidRPr="004670DC" w:rsidRDefault="00987F47" w:rsidP="00AE64A7">
            <w:pPr>
              <w:rPr>
                <w:b/>
                <w:color w:val="FF0000"/>
              </w:rPr>
            </w:pPr>
          </w:p>
        </w:tc>
        <w:tc>
          <w:tcPr>
            <w:tcW w:w="567" w:type="dxa"/>
            <w:shd w:val="clear" w:color="auto" w:fill="FF0000"/>
          </w:tcPr>
          <w:p w:rsidR="00987F47" w:rsidRPr="004670DC" w:rsidRDefault="00987F47" w:rsidP="00AE64A7">
            <w:pPr>
              <w:rPr>
                <w:b/>
                <w:color w:val="FF0000"/>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Mocoa</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FFFFFF" w:themeFill="background1"/>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Neiva</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FFFFFF" w:themeFill="background1"/>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Pamplona</w:t>
            </w:r>
          </w:p>
        </w:tc>
        <w:tc>
          <w:tcPr>
            <w:tcW w:w="567" w:type="dxa"/>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auto"/>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Pereira</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440"/>
        </w:trPr>
        <w:tc>
          <w:tcPr>
            <w:tcW w:w="1417" w:type="dxa"/>
          </w:tcPr>
          <w:p w:rsidR="00987F47" w:rsidRPr="005D6CD3" w:rsidRDefault="00987F47" w:rsidP="006B73F5">
            <w:pPr>
              <w:jc w:val="center"/>
              <w:rPr>
                <w:b/>
                <w:sz w:val="18"/>
                <w:szCs w:val="18"/>
              </w:rPr>
            </w:pPr>
            <w:r w:rsidRPr="005D6CD3">
              <w:rPr>
                <w:b/>
                <w:sz w:val="18"/>
                <w:szCs w:val="18"/>
              </w:rPr>
              <w:t>Popayán</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Quibdó</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FFFFFF" w:themeFill="background1"/>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Riohacha</w:t>
            </w:r>
          </w:p>
        </w:tc>
        <w:tc>
          <w:tcPr>
            <w:tcW w:w="567" w:type="dxa"/>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San Gil</w:t>
            </w:r>
          </w:p>
        </w:tc>
        <w:tc>
          <w:tcPr>
            <w:tcW w:w="567" w:type="dxa"/>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auto"/>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FFFFFF" w:themeFill="background1"/>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Santa Marta</w:t>
            </w:r>
          </w:p>
        </w:tc>
        <w:tc>
          <w:tcPr>
            <w:tcW w:w="567" w:type="dxa"/>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FF" w:themeFill="background1"/>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Sincelejo</w:t>
            </w:r>
          </w:p>
        </w:tc>
        <w:tc>
          <w:tcPr>
            <w:tcW w:w="567" w:type="dxa"/>
          </w:tcPr>
          <w:p w:rsidR="00987F47" w:rsidRDefault="00987F47" w:rsidP="00AE64A7">
            <w:pPr>
              <w:rPr>
                <w:b/>
              </w:rPr>
            </w:pPr>
          </w:p>
        </w:tc>
        <w:tc>
          <w:tcPr>
            <w:tcW w:w="567" w:type="dxa"/>
            <w:shd w:val="clear" w:color="auto" w:fill="FF0000"/>
          </w:tcPr>
          <w:p w:rsidR="00987F47" w:rsidRPr="00A322B0" w:rsidRDefault="00987F47" w:rsidP="00AE64A7">
            <w:pPr>
              <w:rPr>
                <w:b/>
                <w:highlight w:val="yellow"/>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FFFFFF" w:themeFill="background1"/>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Valledupar</w:t>
            </w:r>
          </w:p>
        </w:tc>
        <w:tc>
          <w:tcPr>
            <w:tcW w:w="567" w:type="dxa"/>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FFFFFF" w:themeFill="background1"/>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Villavicencio</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7030A0"/>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r w:rsidR="00987F47" w:rsidTr="00AE64A7">
        <w:trPr>
          <w:trHeight w:val="135"/>
        </w:trPr>
        <w:tc>
          <w:tcPr>
            <w:tcW w:w="1417" w:type="dxa"/>
          </w:tcPr>
          <w:p w:rsidR="00987F47" w:rsidRPr="005D6CD3" w:rsidRDefault="00987F47" w:rsidP="006B73F5">
            <w:pPr>
              <w:jc w:val="center"/>
              <w:rPr>
                <w:b/>
                <w:sz w:val="18"/>
                <w:szCs w:val="18"/>
              </w:rPr>
            </w:pPr>
            <w:r w:rsidRPr="005D6CD3">
              <w:rPr>
                <w:b/>
                <w:sz w:val="18"/>
                <w:szCs w:val="18"/>
              </w:rPr>
              <w:t>Yopal</w:t>
            </w:r>
          </w:p>
        </w:tc>
        <w:tc>
          <w:tcPr>
            <w:tcW w:w="567" w:type="dxa"/>
            <w:shd w:val="clear" w:color="auto" w:fill="FF0000"/>
          </w:tcPr>
          <w:p w:rsidR="00987F47" w:rsidRDefault="00987F47" w:rsidP="00AE64A7">
            <w:pPr>
              <w:rPr>
                <w:b/>
              </w:rPr>
            </w:pPr>
          </w:p>
        </w:tc>
        <w:tc>
          <w:tcPr>
            <w:tcW w:w="567" w:type="dxa"/>
            <w:shd w:val="clear" w:color="auto" w:fill="FF00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FFFF00"/>
          </w:tcPr>
          <w:p w:rsidR="00987F47" w:rsidRDefault="00987F47" w:rsidP="00AE64A7">
            <w:pPr>
              <w:rPr>
                <w:b/>
              </w:rPr>
            </w:pPr>
          </w:p>
        </w:tc>
        <w:tc>
          <w:tcPr>
            <w:tcW w:w="567" w:type="dxa"/>
            <w:shd w:val="clear" w:color="auto" w:fill="92D050"/>
          </w:tcPr>
          <w:p w:rsidR="00987F47" w:rsidRDefault="00987F47" w:rsidP="00AE64A7">
            <w:pPr>
              <w:rPr>
                <w:b/>
              </w:rPr>
            </w:pPr>
          </w:p>
        </w:tc>
        <w:tc>
          <w:tcPr>
            <w:tcW w:w="709" w:type="dxa"/>
            <w:shd w:val="clear" w:color="auto" w:fill="92D050"/>
          </w:tcPr>
          <w:p w:rsidR="00987F47" w:rsidRDefault="00987F47" w:rsidP="00AE64A7">
            <w:pPr>
              <w:rPr>
                <w:b/>
              </w:rPr>
            </w:pPr>
          </w:p>
        </w:tc>
        <w:tc>
          <w:tcPr>
            <w:tcW w:w="709" w:type="dxa"/>
            <w:shd w:val="clear" w:color="auto" w:fill="auto"/>
          </w:tcPr>
          <w:p w:rsidR="00987F47" w:rsidRDefault="00987F47" w:rsidP="00AE64A7">
            <w:pPr>
              <w:rPr>
                <w:b/>
              </w:rPr>
            </w:pPr>
          </w:p>
        </w:tc>
        <w:tc>
          <w:tcPr>
            <w:tcW w:w="850" w:type="dxa"/>
            <w:shd w:val="clear" w:color="auto" w:fill="7030A0"/>
          </w:tcPr>
          <w:p w:rsidR="00987F47" w:rsidRDefault="00987F47" w:rsidP="00AE64A7">
            <w:pPr>
              <w:rPr>
                <w:b/>
              </w:rPr>
            </w:pPr>
          </w:p>
        </w:tc>
        <w:tc>
          <w:tcPr>
            <w:tcW w:w="567" w:type="dxa"/>
            <w:shd w:val="clear" w:color="auto" w:fill="00B0F0"/>
          </w:tcPr>
          <w:p w:rsidR="00987F47" w:rsidRDefault="00987F47" w:rsidP="00AE64A7">
            <w:pPr>
              <w:rPr>
                <w:b/>
              </w:rPr>
            </w:pPr>
          </w:p>
        </w:tc>
        <w:tc>
          <w:tcPr>
            <w:tcW w:w="567" w:type="dxa"/>
            <w:shd w:val="clear" w:color="auto" w:fill="00B0F0"/>
          </w:tcPr>
          <w:p w:rsidR="00987F47" w:rsidRDefault="00987F47" w:rsidP="00AE64A7">
            <w:pPr>
              <w:rPr>
                <w:b/>
              </w:rPr>
            </w:pPr>
          </w:p>
        </w:tc>
        <w:tc>
          <w:tcPr>
            <w:tcW w:w="1559" w:type="dxa"/>
          </w:tcPr>
          <w:p w:rsidR="00987F47" w:rsidRDefault="00987F47" w:rsidP="00AE64A7">
            <w:pPr>
              <w:rPr>
                <w:b/>
              </w:rPr>
            </w:pPr>
          </w:p>
        </w:tc>
      </w:tr>
    </w:tbl>
    <w:p w:rsidR="00987F47" w:rsidRDefault="00987F47" w:rsidP="00987F47">
      <w:pPr>
        <w:rPr>
          <w:b/>
        </w:rPr>
      </w:pPr>
    </w:p>
    <w:p w:rsidR="005D6CD3" w:rsidRDefault="005D6CD3" w:rsidP="00987F47">
      <w:pPr>
        <w:rPr>
          <w:b/>
        </w:rPr>
      </w:pPr>
    </w:p>
    <w:p w:rsidR="005D6CD3" w:rsidRDefault="005D6CD3" w:rsidP="00987F47">
      <w:pPr>
        <w:rPr>
          <w:b/>
        </w:rPr>
      </w:pPr>
    </w:p>
    <w:p w:rsidR="005D6CD3" w:rsidRPr="005D6CD3" w:rsidRDefault="005D6CD3" w:rsidP="00987F47">
      <w:pPr>
        <w:rPr>
          <w:rFonts w:ascii="Book Antiqua" w:hAnsi="Book Antiqua"/>
          <w:color w:val="000000"/>
          <w:sz w:val="24"/>
          <w:szCs w:val="24"/>
        </w:rPr>
      </w:pPr>
      <w:r w:rsidRPr="005D6CD3">
        <w:rPr>
          <w:rFonts w:ascii="Book Antiqua" w:hAnsi="Book Antiqua"/>
          <w:color w:val="000000"/>
          <w:sz w:val="24"/>
          <w:szCs w:val="24"/>
        </w:rPr>
        <w:lastRenderedPageBreak/>
        <w:t xml:space="preserve">En las grafica se presentan las dificultades en los diferentes aspectos reportados:  </w:t>
      </w:r>
    </w:p>
    <w:p w:rsidR="005D6CD3" w:rsidRDefault="005D6CD3" w:rsidP="00987F47">
      <w:pPr>
        <w:rPr>
          <w:b/>
        </w:rPr>
      </w:pPr>
    </w:p>
    <w:tbl>
      <w:tblPr>
        <w:tblStyle w:val="Tablaconcuadrcula"/>
        <w:tblW w:w="0" w:type="auto"/>
        <w:tblLook w:val="04A0" w:firstRow="1" w:lastRow="0" w:firstColumn="1" w:lastColumn="0" w:noHBand="0" w:noVBand="1"/>
      </w:tblPr>
      <w:tblGrid>
        <w:gridCol w:w="8772"/>
      </w:tblGrid>
      <w:tr w:rsidR="00B62305" w:rsidTr="00B62305">
        <w:tc>
          <w:tcPr>
            <w:tcW w:w="8772" w:type="dxa"/>
          </w:tcPr>
          <w:p w:rsidR="00B62305" w:rsidRDefault="008748D3" w:rsidP="00D17B63">
            <w:pPr>
              <w:jc w:val="center"/>
            </w:pPr>
            <w:r>
              <w:rPr>
                <w:noProof/>
                <w:lang w:val="es-CO" w:eastAsia="es-CO"/>
              </w:rPr>
              <w:drawing>
                <wp:inline distT="0" distB="0" distL="0" distR="0" wp14:anchorId="50C27AB2" wp14:editId="4FE9E218">
                  <wp:extent cx="5378824" cy="3514060"/>
                  <wp:effectExtent l="19050" t="0" r="12326"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B62305" w:rsidTr="00A01DE0">
        <w:tc>
          <w:tcPr>
            <w:tcW w:w="8772" w:type="dxa"/>
            <w:shd w:val="clear" w:color="auto" w:fill="auto"/>
          </w:tcPr>
          <w:p w:rsidR="00B62305" w:rsidRPr="008748D3" w:rsidRDefault="009D4B5B" w:rsidP="00C935FD">
            <w:pPr>
              <w:rPr>
                <w:rFonts w:ascii="Book Antiqua" w:hAnsi="Book Antiqua"/>
                <w:sz w:val="18"/>
                <w:szCs w:val="18"/>
              </w:rPr>
            </w:pPr>
            <w:r w:rsidRPr="008748D3">
              <w:rPr>
                <w:rFonts w:ascii="Book Antiqua" w:hAnsi="Book Antiqua"/>
                <w:sz w:val="18"/>
                <w:szCs w:val="18"/>
              </w:rPr>
              <w:t>Análisis:</w:t>
            </w:r>
            <w:r w:rsidR="00172176">
              <w:rPr>
                <w:rFonts w:ascii="Book Antiqua" w:hAnsi="Book Antiqua"/>
                <w:sz w:val="18"/>
                <w:szCs w:val="18"/>
              </w:rPr>
              <w:t xml:space="preserve"> El 100% de los distritos  judiciales </w:t>
            </w:r>
            <w:r w:rsidR="00C935FD">
              <w:rPr>
                <w:rFonts w:ascii="Book Antiqua" w:hAnsi="Book Antiqua"/>
                <w:sz w:val="18"/>
                <w:szCs w:val="18"/>
              </w:rPr>
              <w:t xml:space="preserve">señalados </w:t>
            </w:r>
            <w:r w:rsidR="004075D6">
              <w:rPr>
                <w:rFonts w:ascii="Book Antiqua" w:hAnsi="Book Antiqua"/>
                <w:sz w:val="18"/>
                <w:szCs w:val="18"/>
              </w:rPr>
              <w:t>no cuentan con salas de audiencias</w:t>
            </w:r>
            <w:r w:rsidR="00C935FD">
              <w:rPr>
                <w:rFonts w:ascii="Book Antiqua" w:hAnsi="Book Antiqua"/>
                <w:sz w:val="18"/>
                <w:szCs w:val="18"/>
              </w:rPr>
              <w:t>.</w:t>
            </w:r>
          </w:p>
        </w:tc>
      </w:tr>
    </w:tbl>
    <w:p w:rsidR="00730191" w:rsidRDefault="00730191" w:rsidP="00C94603">
      <w:pPr>
        <w:adjustRightInd w:val="0"/>
        <w:spacing w:line="360" w:lineRule="auto"/>
        <w:jc w:val="both"/>
        <w:textAlignment w:val="baseline"/>
        <w:rPr>
          <w:rFonts w:ascii="Book Antiqua" w:hAnsi="Book Antiqua"/>
          <w:color w:val="000000"/>
          <w:sz w:val="24"/>
          <w:szCs w:val="24"/>
        </w:rPr>
      </w:pPr>
    </w:p>
    <w:tbl>
      <w:tblPr>
        <w:tblStyle w:val="Tablaconcuadrcula"/>
        <w:tblW w:w="0" w:type="auto"/>
        <w:tblLook w:val="04A0" w:firstRow="1" w:lastRow="0" w:firstColumn="1" w:lastColumn="0" w:noHBand="0" w:noVBand="1"/>
      </w:tblPr>
      <w:tblGrid>
        <w:gridCol w:w="8772"/>
      </w:tblGrid>
      <w:tr w:rsidR="00E72076" w:rsidTr="00E72076">
        <w:tc>
          <w:tcPr>
            <w:tcW w:w="8772" w:type="dxa"/>
          </w:tcPr>
          <w:p w:rsidR="00E72076" w:rsidRDefault="00E72076" w:rsidP="004816D0">
            <w:pPr>
              <w:jc w:val="center"/>
            </w:pPr>
            <w:r>
              <w:rPr>
                <w:noProof/>
                <w:lang w:val="es-CO" w:eastAsia="es-CO"/>
              </w:rPr>
              <w:drawing>
                <wp:inline distT="0" distB="0" distL="0" distR="0" wp14:anchorId="5A2AE288" wp14:editId="3A415FD0">
                  <wp:extent cx="5378400" cy="3513600"/>
                  <wp:effectExtent l="0" t="0" r="13335" b="1079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E72076" w:rsidTr="00E72076">
        <w:tc>
          <w:tcPr>
            <w:tcW w:w="8772" w:type="dxa"/>
          </w:tcPr>
          <w:p w:rsidR="00E72076" w:rsidRDefault="00E72076" w:rsidP="00B67D5E">
            <w:r w:rsidRPr="008748D3">
              <w:rPr>
                <w:rFonts w:ascii="Book Antiqua" w:hAnsi="Book Antiqua"/>
                <w:sz w:val="18"/>
                <w:szCs w:val="18"/>
              </w:rPr>
              <w:t xml:space="preserve">Análisis: </w:t>
            </w:r>
            <w:r w:rsidR="00394404">
              <w:rPr>
                <w:rFonts w:ascii="Book Antiqua" w:hAnsi="Book Antiqua"/>
                <w:sz w:val="18"/>
                <w:szCs w:val="18"/>
              </w:rPr>
              <w:t>De 1</w:t>
            </w:r>
            <w:r w:rsidR="00B67D5E">
              <w:rPr>
                <w:rFonts w:ascii="Book Antiqua" w:hAnsi="Book Antiqua"/>
                <w:sz w:val="18"/>
                <w:szCs w:val="18"/>
              </w:rPr>
              <w:t>6</w:t>
            </w:r>
            <w:r w:rsidR="00394404">
              <w:rPr>
                <w:rFonts w:ascii="Book Antiqua" w:hAnsi="Book Antiqua"/>
                <w:sz w:val="18"/>
                <w:szCs w:val="18"/>
              </w:rPr>
              <w:t xml:space="preserve"> </w:t>
            </w:r>
            <w:r>
              <w:rPr>
                <w:rFonts w:ascii="Book Antiqua" w:hAnsi="Book Antiqua"/>
                <w:sz w:val="18"/>
                <w:szCs w:val="18"/>
              </w:rPr>
              <w:t>distritos judiciales</w:t>
            </w:r>
            <w:r w:rsidR="00C935FD">
              <w:rPr>
                <w:rFonts w:ascii="Book Antiqua" w:hAnsi="Book Antiqua"/>
                <w:sz w:val="18"/>
                <w:szCs w:val="18"/>
              </w:rPr>
              <w:t xml:space="preserve"> señalados </w:t>
            </w:r>
            <w:r w:rsidR="00394404">
              <w:rPr>
                <w:rFonts w:ascii="Book Antiqua" w:hAnsi="Book Antiqua"/>
                <w:sz w:val="18"/>
                <w:szCs w:val="18"/>
              </w:rPr>
              <w:t>el 6</w:t>
            </w:r>
            <w:r w:rsidR="00B67D5E">
              <w:rPr>
                <w:rFonts w:ascii="Book Antiqua" w:hAnsi="Book Antiqua"/>
                <w:sz w:val="18"/>
                <w:szCs w:val="18"/>
              </w:rPr>
              <w:t>6</w:t>
            </w:r>
            <w:r w:rsidR="00394404">
              <w:rPr>
                <w:rFonts w:ascii="Book Antiqua" w:hAnsi="Book Antiqua"/>
                <w:sz w:val="18"/>
                <w:szCs w:val="18"/>
              </w:rPr>
              <w:t>% reportaron</w:t>
            </w:r>
            <w:r w:rsidR="00CE436D">
              <w:rPr>
                <w:rFonts w:ascii="Book Antiqua" w:hAnsi="Book Antiqua"/>
                <w:sz w:val="18"/>
                <w:szCs w:val="18"/>
              </w:rPr>
              <w:t xml:space="preserve"> insuficiencia </w:t>
            </w:r>
            <w:r w:rsidR="00D3527B">
              <w:rPr>
                <w:rFonts w:ascii="Book Antiqua" w:hAnsi="Book Antiqua"/>
                <w:sz w:val="18"/>
                <w:szCs w:val="18"/>
              </w:rPr>
              <w:t>de</w:t>
            </w:r>
            <w:r w:rsidR="00A01DE0">
              <w:rPr>
                <w:rFonts w:ascii="Book Antiqua" w:hAnsi="Book Antiqua"/>
                <w:sz w:val="18"/>
                <w:szCs w:val="18"/>
              </w:rPr>
              <w:t xml:space="preserve"> salas de audiencias.</w:t>
            </w:r>
          </w:p>
        </w:tc>
      </w:tr>
    </w:tbl>
    <w:p w:rsidR="00E72076" w:rsidRDefault="00E72076" w:rsidP="00C94603">
      <w:pPr>
        <w:adjustRightInd w:val="0"/>
        <w:spacing w:line="360" w:lineRule="auto"/>
        <w:jc w:val="both"/>
        <w:textAlignment w:val="baseline"/>
        <w:rPr>
          <w:rFonts w:ascii="Book Antiqua" w:hAnsi="Book Antiqua"/>
          <w:color w:val="000000"/>
          <w:sz w:val="24"/>
          <w:szCs w:val="24"/>
        </w:rPr>
      </w:pPr>
    </w:p>
    <w:tbl>
      <w:tblPr>
        <w:tblStyle w:val="Tablaconcuadrcula"/>
        <w:tblW w:w="0" w:type="auto"/>
        <w:tblLook w:val="04A0" w:firstRow="1" w:lastRow="0" w:firstColumn="1" w:lastColumn="0" w:noHBand="0" w:noVBand="1"/>
      </w:tblPr>
      <w:tblGrid>
        <w:gridCol w:w="8772"/>
      </w:tblGrid>
      <w:tr w:rsidR="002337B1" w:rsidTr="00987F47">
        <w:tc>
          <w:tcPr>
            <w:tcW w:w="8772" w:type="dxa"/>
          </w:tcPr>
          <w:p w:rsidR="002337B1" w:rsidRDefault="002337B1" w:rsidP="00D17B63">
            <w:pPr>
              <w:jc w:val="center"/>
            </w:pPr>
            <w:r>
              <w:rPr>
                <w:noProof/>
                <w:lang w:val="es-CO" w:eastAsia="es-CO"/>
              </w:rPr>
              <w:lastRenderedPageBreak/>
              <w:drawing>
                <wp:inline distT="0" distB="0" distL="0" distR="0" wp14:anchorId="1114ABAE" wp14:editId="610AE084">
                  <wp:extent cx="5378400" cy="3513600"/>
                  <wp:effectExtent l="19050" t="0" r="12750" b="0"/>
                  <wp:docPr id="17" name="Gráfico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2337B1" w:rsidTr="00987F47">
        <w:tc>
          <w:tcPr>
            <w:tcW w:w="8772" w:type="dxa"/>
          </w:tcPr>
          <w:p w:rsidR="002337B1" w:rsidRDefault="002337B1" w:rsidP="00C935FD">
            <w:r w:rsidRPr="008748D3">
              <w:rPr>
                <w:rFonts w:ascii="Book Antiqua" w:hAnsi="Book Antiqua"/>
                <w:sz w:val="18"/>
                <w:szCs w:val="18"/>
              </w:rPr>
              <w:t xml:space="preserve">Análisis: </w:t>
            </w:r>
            <w:r w:rsidR="00CE436D">
              <w:rPr>
                <w:rFonts w:ascii="Book Antiqua" w:hAnsi="Book Antiqua"/>
                <w:sz w:val="18"/>
                <w:szCs w:val="18"/>
              </w:rPr>
              <w:t>E</w:t>
            </w:r>
            <w:r w:rsidR="00D3527B">
              <w:rPr>
                <w:rFonts w:ascii="Book Antiqua" w:hAnsi="Book Antiqua"/>
                <w:sz w:val="18"/>
                <w:szCs w:val="18"/>
              </w:rPr>
              <w:t>l</w:t>
            </w:r>
            <w:r w:rsidR="00CE436D">
              <w:rPr>
                <w:rFonts w:ascii="Book Antiqua" w:hAnsi="Book Antiqua"/>
                <w:sz w:val="18"/>
                <w:szCs w:val="18"/>
              </w:rPr>
              <w:t xml:space="preserve"> 78% de los distritos judiciales</w:t>
            </w:r>
            <w:r w:rsidR="00C935FD">
              <w:rPr>
                <w:rFonts w:ascii="Book Antiqua" w:hAnsi="Book Antiqua"/>
                <w:sz w:val="18"/>
                <w:szCs w:val="18"/>
              </w:rPr>
              <w:t xml:space="preserve"> señalados</w:t>
            </w:r>
            <w:r w:rsidR="00CE436D">
              <w:rPr>
                <w:rFonts w:ascii="Book Antiqua" w:hAnsi="Book Antiqua"/>
                <w:sz w:val="18"/>
                <w:szCs w:val="18"/>
              </w:rPr>
              <w:t xml:space="preserve"> no cuentan con adecuación tecnológica</w:t>
            </w:r>
            <w:r w:rsidR="00151602">
              <w:rPr>
                <w:rFonts w:ascii="Book Antiqua" w:hAnsi="Book Antiqua"/>
                <w:sz w:val="18"/>
                <w:szCs w:val="18"/>
              </w:rPr>
              <w:t>.</w:t>
            </w:r>
          </w:p>
        </w:tc>
      </w:tr>
    </w:tbl>
    <w:p w:rsidR="002337B1" w:rsidRDefault="002337B1" w:rsidP="00C94603">
      <w:pPr>
        <w:adjustRightInd w:val="0"/>
        <w:spacing w:line="360" w:lineRule="auto"/>
        <w:jc w:val="both"/>
        <w:textAlignment w:val="baseline"/>
        <w:rPr>
          <w:rFonts w:ascii="Book Antiqua" w:hAnsi="Book Antiqua"/>
          <w:color w:val="000000"/>
          <w:sz w:val="24"/>
          <w:szCs w:val="24"/>
        </w:rPr>
      </w:pPr>
    </w:p>
    <w:p w:rsidR="002312D3" w:rsidRDefault="002312D3" w:rsidP="00C94603">
      <w:pPr>
        <w:adjustRightInd w:val="0"/>
        <w:spacing w:line="360" w:lineRule="auto"/>
        <w:jc w:val="both"/>
        <w:textAlignment w:val="baseline"/>
        <w:rPr>
          <w:rFonts w:ascii="Book Antiqua" w:hAnsi="Book Antiqua"/>
          <w:color w:val="000000"/>
          <w:sz w:val="24"/>
          <w:szCs w:val="24"/>
        </w:rPr>
      </w:pPr>
    </w:p>
    <w:tbl>
      <w:tblPr>
        <w:tblStyle w:val="Tablaconcuadrcula"/>
        <w:tblW w:w="0" w:type="auto"/>
        <w:tblLook w:val="04A0" w:firstRow="1" w:lastRow="0" w:firstColumn="1" w:lastColumn="0" w:noHBand="0" w:noVBand="1"/>
      </w:tblPr>
      <w:tblGrid>
        <w:gridCol w:w="8772"/>
      </w:tblGrid>
      <w:tr w:rsidR="002337B1" w:rsidTr="00D17B63">
        <w:tc>
          <w:tcPr>
            <w:tcW w:w="12996" w:type="dxa"/>
          </w:tcPr>
          <w:p w:rsidR="002337B1" w:rsidRDefault="002337B1" w:rsidP="00D17B63">
            <w:pPr>
              <w:jc w:val="center"/>
            </w:pPr>
            <w:r>
              <w:rPr>
                <w:noProof/>
                <w:lang w:val="es-CO" w:eastAsia="es-CO"/>
              </w:rPr>
              <w:drawing>
                <wp:inline distT="0" distB="0" distL="0" distR="0" wp14:anchorId="0C024A6D" wp14:editId="4EEDDF29">
                  <wp:extent cx="5378400" cy="3513600"/>
                  <wp:effectExtent l="0" t="0" r="13335" b="10795"/>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2337B1" w:rsidTr="00D17B63">
        <w:tc>
          <w:tcPr>
            <w:tcW w:w="12996" w:type="dxa"/>
          </w:tcPr>
          <w:p w:rsidR="002337B1" w:rsidRDefault="002337B1" w:rsidP="00AA5D78">
            <w:pPr>
              <w:jc w:val="both"/>
            </w:pPr>
            <w:r w:rsidRPr="008748D3">
              <w:rPr>
                <w:rFonts w:ascii="Book Antiqua" w:hAnsi="Book Antiqua"/>
                <w:sz w:val="18"/>
                <w:szCs w:val="18"/>
              </w:rPr>
              <w:t xml:space="preserve">Análisis: </w:t>
            </w:r>
            <w:r w:rsidR="00151602">
              <w:rPr>
                <w:rFonts w:ascii="Book Antiqua" w:hAnsi="Book Antiqua"/>
                <w:sz w:val="18"/>
                <w:szCs w:val="18"/>
              </w:rPr>
              <w:t>De 1</w:t>
            </w:r>
            <w:r w:rsidR="00AA5D78">
              <w:rPr>
                <w:rFonts w:ascii="Book Antiqua" w:hAnsi="Book Antiqua"/>
                <w:sz w:val="18"/>
                <w:szCs w:val="18"/>
              </w:rPr>
              <w:t xml:space="preserve">6 </w:t>
            </w:r>
            <w:r w:rsidR="00151602">
              <w:rPr>
                <w:rFonts w:ascii="Book Antiqua" w:hAnsi="Book Antiqua"/>
                <w:sz w:val="18"/>
                <w:szCs w:val="18"/>
              </w:rPr>
              <w:t>distritos judiciales</w:t>
            </w:r>
            <w:r w:rsidR="00C935FD">
              <w:rPr>
                <w:rFonts w:ascii="Book Antiqua" w:hAnsi="Book Antiqua"/>
                <w:sz w:val="18"/>
                <w:szCs w:val="18"/>
              </w:rPr>
              <w:t xml:space="preserve"> señalados</w:t>
            </w:r>
            <w:r w:rsidR="00151602">
              <w:rPr>
                <w:rFonts w:ascii="Book Antiqua" w:hAnsi="Book Antiqua"/>
                <w:sz w:val="18"/>
                <w:szCs w:val="18"/>
              </w:rPr>
              <w:t xml:space="preserve"> el </w:t>
            </w:r>
            <w:r w:rsidR="00AA5D78">
              <w:rPr>
                <w:rFonts w:ascii="Book Antiqua" w:hAnsi="Book Antiqua"/>
                <w:sz w:val="18"/>
                <w:szCs w:val="18"/>
              </w:rPr>
              <w:t>45</w:t>
            </w:r>
            <w:r w:rsidR="00151602">
              <w:rPr>
                <w:rFonts w:ascii="Book Antiqua" w:hAnsi="Book Antiqua"/>
                <w:sz w:val="18"/>
                <w:szCs w:val="18"/>
              </w:rPr>
              <w:t>% reportaron  insuficiencia tecnológica. (</w:t>
            </w:r>
            <w:r w:rsidR="00D3527B">
              <w:rPr>
                <w:rFonts w:ascii="Book Antiqua" w:hAnsi="Book Antiqua"/>
                <w:sz w:val="18"/>
                <w:szCs w:val="18"/>
              </w:rPr>
              <w:t>Los 23 distritos con oralidad no cuentan con expediente digital</w:t>
            </w:r>
            <w:r w:rsidR="00151602">
              <w:rPr>
                <w:rFonts w:ascii="Book Antiqua" w:hAnsi="Book Antiqua"/>
                <w:sz w:val="18"/>
                <w:szCs w:val="18"/>
              </w:rPr>
              <w:t>)</w:t>
            </w:r>
            <w:r w:rsidR="00D3527B">
              <w:rPr>
                <w:rFonts w:ascii="Book Antiqua" w:hAnsi="Book Antiqua"/>
                <w:sz w:val="18"/>
                <w:szCs w:val="18"/>
              </w:rPr>
              <w:t xml:space="preserve">.  </w:t>
            </w:r>
          </w:p>
        </w:tc>
      </w:tr>
    </w:tbl>
    <w:p w:rsidR="002337B1" w:rsidRDefault="002337B1" w:rsidP="00C94603">
      <w:pPr>
        <w:adjustRightInd w:val="0"/>
        <w:spacing w:line="360" w:lineRule="auto"/>
        <w:jc w:val="both"/>
        <w:textAlignment w:val="baseline"/>
        <w:rPr>
          <w:rFonts w:ascii="Book Antiqua" w:hAnsi="Book Antiqua"/>
          <w:color w:val="000000"/>
          <w:sz w:val="24"/>
          <w:szCs w:val="24"/>
        </w:rPr>
      </w:pPr>
    </w:p>
    <w:p w:rsidR="00F83C09" w:rsidRDefault="00F83C09" w:rsidP="00C94603">
      <w:pPr>
        <w:adjustRightInd w:val="0"/>
        <w:spacing w:line="360" w:lineRule="auto"/>
        <w:jc w:val="both"/>
        <w:textAlignment w:val="baseline"/>
        <w:rPr>
          <w:rFonts w:ascii="Book Antiqua" w:hAnsi="Book Antiqua"/>
          <w:color w:val="000000"/>
          <w:sz w:val="24"/>
          <w:szCs w:val="24"/>
        </w:rPr>
      </w:pPr>
    </w:p>
    <w:tbl>
      <w:tblPr>
        <w:tblStyle w:val="Tablaconcuadrcula"/>
        <w:tblW w:w="0" w:type="auto"/>
        <w:tblLook w:val="04A0" w:firstRow="1" w:lastRow="0" w:firstColumn="1" w:lastColumn="0" w:noHBand="0" w:noVBand="1"/>
      </w:tblPr>
      <w:tblGrid>
        <w:gridCol w:w="8772"/>
      </w:tblGrid>
      <w:tr w:rsidR="00BE503C" w:rsidTr="00151602">
        <w:tc>
          <w:tcPr>
            <w:tcW w:w="8772" w:type="dxa"/>
          </w:tcPr>
          <w:p w:rsidR="00BE503C" w:rsidRDefault="00BE503C" w:rsidP="00D17B63">
            <w:pPr>
              <w:jc w:val="center"/>
            </w:pPr>
            <w:r>
              <w:rPr>
                <w:noProof/>
                <w:lang w:val="es-CO" w:eastAsia="es-CO"/>
              </w:rPr>
              <w:lastRenderedPageBreak/>
              <w:drawing>
                <wp:inline distT="0" distB="0" distL="0" distR="0" wp14:anchorId="1E4311CA" wp14:editId="0E0E37B2">
                  <wp:extent cx="5378400" cy="3513600"/>
                  <wp:effectExtent l="19050" t="0" r="12750" b="0"/>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BE503C" w:rsidTr="00151602">
        <w:tc>
          <w:tcPr>
            <w:tcW w:w="8772" w:type="dxa"/>
          </w:tcPr>
          <w:p w:rsidR="00BE503C" w:rsidRDefault="00BE503C" w:rsidP="00C935FD">
            <w:r w:rsidRPr="008748D3">
              <w:rPr>
                <w:rFonts w:ascii="Book Antiqua" w:hAnsi="Book Antiqua"/>
                <w:sz w:val="18"/>
                <w:szCs w:val="18"/>
              </w:rPr>
              <w:t>Análisis</w:t>
            </w:r>
            <w:r w:rsidR="00AA5D78">
              <w:rPr>
                <w:rFonts w:ascii="Book Antiqua" w:hAnsi="Book Antiqua"/>
                <w:sz w:val="18"/>
                <w:szCs w:val="18"/>
              </w:rPr>
              <w:t xml:space="preserve"> </w:t>
            </w:r>
            <w:r w:rsidRPr="008748D3">
              <w:rPr>
                <w:rFonts w:ascii="Book Antiqua" w:hAnsi="Book Antiqua"/>
                <w:sz w:val="18"/>
                <w:szCs w:val="18"/>
              </w:rPr>
              <w:t>:</w:t>
            </w:r>
            <w:r w:rsidR="00D46EBD">
              <w:rPr>
                <w:rFonts w:ascii="Book Antiqua" w:hAnsi="Book Antiqua"/>
                <w:sz w:val="18"/>
                <w:szCs w:val="18"/>
              </w:rPr>
              <w:t xml:space="preserve"> </w:t>
            </w:r>
            <w:r w:rsidR="00151602">
              <w:rPr>
                <w:rFonts w:ascii="Book Antiqua" w:hAnsi="Book Antiqua"/>
                <w:sz w:val="18"/>
                <w:szCs w:val="18"/>
              </w:rPr>
              <w:t xml:space="preserve">El </w:t>
            </w:r>
            <w:r w:rsidR="00231248">
              <w:rPr>
                <w:rFonts w:ascii="Book Antiqua" w:hAnsi="Book Antiqua"/>
                <w:sz w:val="18"/>
                <w:szCs w:val="18"/>
              </w:rPr>
              <w:t>100%</w:t>
            </w:r>
            <w:r>
              <w:rPr>
                <w:rFonts w:ascii="Book Antiqua" w:hAnsi="Book Antiqua"/>
                <w:sz w:val="18"/>
                <w:szCs w:val="18"/>
              </w:rPr>
              <w:t xml:space="preserve"> de </w:t>
            </w:r>
            <w:r w:rsidR="00151602">
              <w:rPr>
                <w:rFonts w:ascii="Book Antiqua" w:hAnsi="Book Antiqua"/>
                <w:sz w:val="18"/>
                <w:szCs w:val="18"/>
              </w:rPr>
              <w:t>los distritos judiciales</w:t>
            </w:r>
            <w:r w:rsidR="00C935FD">
              <w:rPr>
                <w:rFonts w:ascii="Book Antiqua" w:hAnsi="Book Antiqua"/>
                <w:sz w:val="18"/>
                <w:szCs w:val="18"/>
              </w:rPr>
              <w:t xml:space="preserve"> señalados</w:t>
            </w:r>
            <w:r w:rsidR="00AA5D78">
              <w:rPr>
                <w:rFonts w:ascii="Book Antiqua" w:hAnsi="Book Antiqua"/>
                <w:sz w:val="18"/>
                <w:szCs w:val="18"/>
              </w:rPr>
              <w:t xml:space="preserve"> </w:t>
            </w:r>
            <w:r w:rsidR="00C935FD">
              <w:rPr>
                <w:rFonts w:ascii="Book Antiqua" w:hAnsi="Book Antiqua"/>
                <w:sz w:val="18"/>
                <w:szCs w:val="18"/>
              </w:rPr>
              <w:t xml:space="preserve">no cuentan </w:t>
            </w:r>
            <w:r w:rsidR="00151602">
              <w:rPr>
                <w:rFonts w:ascii="Book Antiqua" w:hAnsi="Book Antiqua"/>
                <w:sz w:val="18"/>
                <w:szCs w:val="18"/>
              </w:rPr>
              <w:t>con capacitación</w:t>
            </w:r>
            <w:r w:rsidR="00C935FD">
              <w:rPr>
                <w:rFonts w:ascii="Book Antiqua" w:hAnsi="Book Antiqua"/>
                <w:sz w:val="18"/>
                <w:szCs w:val="18"/>
              </w:rPr>
              <w:t>.</w:t>
            </w:r>
          </w:p>
        </w:tc>
      </w:tr>
    </w:tbl>
    <w:p w:rsidR="00BE503C" w:rsidRDefault="00BE503C" w:rsidP="00C94603">
      <w:pPr>
        <w:adjustRightInd w:val="0"/>
        <w:spacing w:line="360" w:lineRule="auto"/>
        <w:jc w:val="both"/>
        <w:textAlignment w:val="baseline"/>
        <w:rPr>
          <w:rFonts w:ascii="Book Antiqua" w:hAnsi="Book Antiqua"/>
          <w:color w:val="000000"/>
          <w:sz w:val="24"/>
          <w:szCs w:val="24"/>
        </w:rPr>
      </w:pPr>
    </w:p>
    <w:tbl>
      <w:tblPr>
        <w:tblStyle w:val="Tablaconcuadrcula"/>
        <w:tblW w:w="0" w:type="auto"/>
        <w:tblLook w:val="04A0" w:firstRow="1" w:lastRow="0" w:firstColumn="1" w:lastColumn="0" w:noHBand="0" w:noVBand="1"/>
      </w:tblPr>
      <w:tblGrid>
        <w:gridCol w:w="8772"/>
      </w:tblGrid>
      <w:tr w:rsidR="00BE503C" w:rsidTr="00D17B63">
        <w:tc>
          <w:tcPr>
            <w:tcW w:w="12996" w:type="dxa"/>
          </w:tcPr>
          <w:p w:rsidR="00BE503C" w:rsidRDefault="00BE503C" w:rsidP="00D17B63">
            <w:pPr>
              <w:jc w:val="center"/>
            </w:pPr>
            <w:r>
              <w:rPr>
                <w:noProof/>
                <w:lang w:val="es-CO" w:eastAsia="es-CO"/>
              </w:rPr>
              <w:drawing>
                <wp:inline distT="0" distB="0" distL="0" distR="0" wp14:anchorId="58BCDABB" wp14:editId="60201A8A">
                  <wp:extent cx="5378400" cy="3513600"/>
                  <wp:effectExtent l="0" t="0" r="13335" b="10795"/>
                  <wp:docPr id="18"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00BE503C" w:rsidTr="00D17B63">
        <w:tc>
          <w:tcPr>
            <w:tcW w:w="12996" w:type="dxa"/>
          </w:tcPr>
          <w:p w:rsidR="00BE503C" w:rsidRDefault="00BE503C" w:rsidP="00AA5D78">
            <w:pPr>
              <w:jc w:val="both"/>
            </w:pPr>
            <w:r w:rsidRPr="008748D3">
              <w:rPr>
                <w:rFonts w:ascii="Book Antiqua" w:hAnsi="Book Antiqua"/>
                <w:sz w:val="18"/>
                <w:szCs w:val="18"/>
              </w:rPr>
              <w:t xml:space="preserve">Análisis: </w:t>
            </w:r>
            <w:r w:rsidR="00B0061A">
              <w:rPr>
                <w:rFonts w:ascii="Book Antiqua" w:hAnsi="Book Antiqua"/>
                <w:sz w:val="18"/>
                <w:szCs w:val="18"/>
              </w:rPr>
              <w:t>De 1</w:t>
            </w:r>
            <w:r w:rsidR="00AA5D78">
              <w:rPr>
                <w:rFonts w:ascii="Book Antiqua" w:hAnsi="Book Antiqua"/>
                <w:sz w:val="18"/>
                <w:szCs w:val="18"/>
              </w:rPr>
              <w:t>6</w:t>
            </w:r>
            <w:r w:rsidR="00994A4D">
              <w:rPr>
                <w:rFonts w:ascii="Book Antiqua" w:hAnsi="Book Antiqua"/>
                <w:sz w:val="18"/>
                <w:szCs w:val="18"/>
              </w:rPr>
              <w:t xml:space="preserve"> </w:t>
            </w:r>
            <w:r w:rsidR="00B0061A">
              <w:rPr>
                <w:rFonts w:ascii="Book Antiqua" w:hAnsi="Book Antiqua"/>
                <w:sz w:val="18"/>
                <w:szCs w:val="18"/>
              </w:rPr>
              <w:t>distritos judiciales</w:t>
            </w:r>
            <w:r w:rsidR="00C935FD">
              <w:rPr>
                <w:rFonts w:ascii="Book Antiqua" w:hAnsi="Book Antiqua"/>
                <w:sz w:val="18"/>
                <w:szCs w:val="18"/>
              </w:rPr>
              <w:t xml:space="preserve"> señalados </w:t>
            </w:r>
            <w:r w:rsidR="00B0061A">
              <w:rPr>
                <w:rFonts w:ascii="Book Antiqua" w:hAnsi="Book Antiqua"/>
                <w:sz w:val="18"/>
                <w:szCs w:val="18"/>
              </w:rPr>
              <w:t xml:space="preserve">el </w:t>
            </w:r>
            <w:r w:rsidR="00AA5D78">
              <w:rPr>
                <w:rFonts w:ascii="Book Antiqua" w:hAnsi="Book Antiqua"/>
                <w:sz w:val="18"/>
                <w:szCs w:val="18"/>
              </w:rPr>
              <w:t>90</w:t>
            </w:r>
            <w:r w:rsidR="00B0061A">
              <w:rPr>
                <w:rFonts w:ascii="Book Antiqua" w:hAnsi="Book Antiqua"/>
                <w:sz w:val="18"/>
                <w:szCs w:val="18"/>
              </w:rPr>
              <w:t xml:space="preserve">% reportaron no </w:t>
            </w:r>
            <w:r w:rsidR="00C935FD">
              <w:rPr>
                <w:rFonts w:ascii="Book Antiqua" w:hAnsi="Book Antiqua"/>
                <w:sz w:val="18"/>
                <w:szCs w:val="18"/>
              </w:rPr>
              <w:t xml:space="preserve">cuentan con </w:t>
            </w:r>
            <w:r w:rsidR="00994A4D">
              <w:rPr>
                <w:rFonts w:ascii="Book Antiqua" w:hAnsi="Book Antiqua"/>
                <w:sz w:val="18"/>
                <w:szCs w:val="18"/>
              </w:rPr>
              <w:t>capacitación o es deficiente la misma.</w:t>
            </w:r>
          </w:p>
        </w:tc>
      </w:tr>
    </w:tbl>
    <w:p w:rsidR="00BE503C" w:rsidRDefault="00BE503C" w:rsidP="00C94603">
      <w:pPr>
        <w:adjustRightInd w:val="0"/>
        <w:spacing w:line="360" w:lineRule="auto"/>
        <w:jc w:val="both"/>
        <w:textAlignment w:val="baseline"/>
        <w:rPr>
          <w:rFonts w:ascii="Book Antiqua" w:hAnsi="Book Antiqua"/>
          <w:color w:val="000000"/>
          <w:sz w:val="24"/>
          <w:szCs w:val="24"/>
        </w:rPr>
      </w:pPr>
    </w:p>
    <w:p w:rsidR="00BE503C" w:rsidRDefault="00BE503C" w:rsidP="00C94603">
      <w:pPr>
        <w:adjustRightInd w:val="0"/>
        <w:spacing w:line="360" w:lineRule="auto"/>
        <w:jc w:val="both"/>
        <w:textAlignment w:val="baseline"/>
        <w:rPr>
          <w:rFonts w:ascii="Book Antiqua" w:hAnsi="Book Antiqua"/>
          <w:color w:val="000000"/>
          <w:sz w:val="24"/>
          <w:szCs w:val="24"/>
        </w:rPr>
      </w:pPr>
    </w:p>
    <w:tbl>
      <w:tblPr>
        <w:tblStyle w:val="Tablaconcuadrcula"/>
        <w:tblW w:w="0" w:type="auto"/>
        <w:tblLook w:val="04A0" w:firstRow="1" w:lastRow="0" w:firstColumn="1" w:lastColumn="0" w:noHBand="0" w:noVBand="1"/>
      </w:tblPr>
      <w:tblGrid>
        <w:gridCol w:w="8772"/>
      </w:tblGrid>
      <w:tr w:rsidR="00EF33F8" w:rsidTr="002312D3">
        <w:tc>
          <w:tcPr>
            <w:tcW w:w="8772" w:type="dxa"/>
          </w:tcPr>
          <w:p w:rsidR="00EF33F8" w:rsidRDefault="00EF33F8" w:rsidP="00D17B63">
            <w:pPr>
              <w:jc w:val="center"/>
            </w:pPr>
            <w:r>
              <w:rPr>
                <w:noProof/>
                <w:lang w:val="es-CO" w:eastAsia="es-CO"/>
              </w:rPr>
              <w:lastRenderedPageBreak/>
              <w:drawing>
                <wp:inline distT="0" distB="0" distL="0" distR="0" wp14:anchorId="6578F0AB" wp14:editId="6BB5B2CD">
                  <wp:extent cx="5378400" cy="3513600"/>
                  <wp:effectExtent l="19050" t="0" r="12750" b="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EF33F8" w:rsidTr="002312D3">
        <w:tc>
          <w:tcPr>
            <w:tcW w:w="8772" w:type="dxa"/>
          </w:tcPr>
          <w:p w:rsidR="00EF33F8" w:rsidRDefault="00221419" w:rsidP="00C935FD">
            <w:pPr>
              <w:jc w:val="both"/>
            </w:pPr>
            <w:r w:rsidRPr="008748D3">
              <w:rPr>
                <w:rFonts w:ascii="Book Antiqua" w:hAnsi="Book Antiqua"/>
                <w:sz w:val="18"/>
                <w:szCs w:val="18"/>
              </w:rPr>
              <w:t>Análisis:</w:t>
            </w:r>
            <w:r w:rsidR="006D1912">
              <w:rPr>
                <w:rFonts w:ascii="Book Antiqua" w:hAnsi="Book Antiqua"/>
                <w:sz w:val="18"/>
                <w:szCs w:val="18"/>
              </w:rPr>
              <w:t xml:space="preserve"> </w:t>
            </w:r>
            <w:r w:rsidR="00B0061A">
              <w:rPr>
                <w:rFonts w:ascii="Book Antiqua" w:hAnsi="Book Antiqua"/>
                <w:sz w:val="18"/>
                <w:szCs w:val="18"/>
              </w:rPr>
              <w:t xml:space="preserve">El 45% de los distritos judiciales </w:t>
            </w:r>
            <w:r w:rsidR="00C935FD">
              <w:rPr>
                <w:rFonts w:ascii="Book Antiqua" w:hAnsi="Book Antiqua"/>
                <w:sz w:val="18"/>
                <w:szCs w:val="18"/>
              </w:rPr>
              <w:t>señalados</w:t>
            </w:r>
            <w:r w:rsidR="00B0061A">
              <w:rPr>
                <w:rFonts w:ascii="Book Antiqua" w:hAnsi="Book Antiqua"/>
                <w:sz w:val="18"/>
                <w:szCs w:val="18"/>
              </w:rPr>
              <w:t xml:space="preserve"> reportaron como deficiente </w:t>
            </w:r>
            <w:r w:rsidR="00231248">
              <w:rPr>
                <w:rFonts w:ascii="Book Antiqua" w:hAnsi="Book Antiqua"/>
                <w:sz w:val="18"/>
                <w:szCs w:val="18"/>
              </w:rPr>
              <w:t xml:space="preserve">la implementación de  medidas </w:t>
            </w:r>
            <w:r w:rsidR="005D0D83">
              <w:rPr>
                <w:rFonts w:ascii="Book Antiqua" w:hAnsi="Book Antiqua"/>
                <w:sz w:val="18"/>
                <w:szCs w:val="18"/>
              </w:rPr>
              <w:t>de</w:t>
            </w:r>
            <w:r w:rsidR="00231248">
              <w:rPr>
                <w:rFonts w:ascii="Book Antiqua" w:hAnsi="Book Antiqua"/>
                <w:sz w:val="18"/>
                <w:szCs w:val="18"/>
              </w:rPr>
              <w:t xml:space="preserve"> descongestión.</w:t>
            </w:r>
          </w:p>
        </w:tc>
      </w:tr>
    </w:tbl>
    <w:p w:rsidR="00BE503C" w:rsidRDefault="00BE503C" w:rsidP="00C94603">
      <w:pPr>
        <w:adjustRightInd w:val="0"/>
        <w:spacing w:line="360" w:lineRule="auto"/>
        <w:jc w:val="both"/>
        <w:textAlignment w:val="baseline"/>
        <w:rPr>
          <w:rFonts w:ascii="Book Antiqua" w:hAnsi="Book Antiqua"/>
          <w:color w:val="000000"/>
          <w:sz w:val="24"/>
          <w:szCs w:val="24"/>
        </w:rPr>
      </w:pPr>
    </w:p>
    <w:tbl>
      <w:tblPr>
        <w:tblStyle w:val="Tablaconcuadrcula"/>
        <w:tblW w:w="0" w:type="auto"/>
        <w:tblLook w:val="04A0" w:firstRow="1" w:lastRow="0" w:firstColumn="1" w:lastColumn="0" w:noHBand="0" w:noVBand="1"/>
      </w:tblPr>
      <w:tblGrid>
        <w:gridCol w:w="8772"/>
      </w:tblGrid>
      <w:tr w:rsidR="00221419" w:rsidTr="00D17B63">
        <w:tc>
          <w:tcPr>
            <w:tcW w:w="12996" w:type="dxa"/>
          </w:tcPr>
          <w:p w:rsidR="00221419" w:rsidRDefault="00221419" w:rsidP="00D17B63">
            <w:pPr>
              <w:jc w:val="center"/>
            </w:pPr>
            <w:r>
              <w:rPr>
                <w:noProof/>
                <w:lang w:val="es-CO" w:eastAsia="es-CO"/>
              </w:rPr>
              <w:drawing>
                <wp:inline distT="0" distB="0" distL="0" distR="0" wp14:anchorId="34C2EC31" wp14:editId="34EBE986">
                  <wp:extent cx="5378400" cy="3513600"/>
                  <wp:effectExtent l="0" t="0" r="13335" b="10795"/>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r w:rsidR="00221419" w:rsidTr="00D17B63">
        <w:tc>
          <w:tcPr>
            <w:tcW w:w="12996" w:type="dxa"/>
          </w:tcPr>
          <w:p w:rsidR="00221419" w:rsidRDefault="00D40B9A" w:rsidP="00C515F8">
            <w:pPr>
              <w:jc w:val="both"/>
            </w:pPr>
            <w:r w:rsidRPr="008748D3">
              <w:rPr>
                <w:rFonts w:ascii="Book Antiqua" w:hAnsi="Book Antiqua"/>
                <w:sz w:val="18"/>
                <w:szCs w:val="18"/>
              </w:rPr>
              <w:t>Análisis:</w:t>
            </w:r>
            <w:r w:rsidR="006D1912">
              <w:rPr>
                <w:rFonts w:ascii="Book Antiqua" w:hAnsi="Book Antiqua"/>
                <w:sz w:val="18"/>
                <w:szCs w:val="18"/>
              </w:rPr>
              <w:t xml:space="preserve"> </w:t>
            </w:r>
            <w:r w:rsidR="00B0061A">
              <w:rPr>
                <w:rFonts w:ascii="Book Antiqua" w:hAnsi="Book Antiqua"/>
                <w:sz w:val="18"/>
                <w:szCs w:val="18"/>
              </w:rPr>
              <w:t>De 1</w:t>
            </w:r>
            <w:r w:rsidR="00C515F8">
              <w:rPr>
                <w:rFonts w:ascii="Book Antiqua" w:hAnsi="Book Antiqua"/>
                <w:sz w:val="18"/>
                <w:szCs w:val="18"/>
              </w:rPr>
              <w:t xml:space="preserve">6 </w:t>
            </w:r>
            <w:r w:rsidR="00B0061A">
              <w:rPr>
                <w:rFonts w:ascii="Book Antiqua" w:hAnsi="Book Antiqua"/>
                <w:sz w:val="18"/>
                <w:szCs w:val="18"/>
              </w:rPr>
              <w:t xml:space="preserve">distritos judiciales </w:t>
            </w:r>
            <w:r w:rsidR="00C935FD">
              <w:rPr>
                <w:rFonts w:ascii="Book Antiqua" w:hAnsi="Book Antiqua"/>
                <w:sz w:val="18"/>
                <w:szCs w:val="18"/>
              </w:rPr>
              <w:t>señalados</w:t>
            </w:r>
            <w:r w:rsidR="00B0061A">
              <w:rPr>
                <w:rFonts w:ascii="Book Antiqua" w:hAnsi="Book Antiqua"/>
                <w:sz w:val="18"/>
                <w:szCs w:val="18"/>
              </w:rPr>
              <w:t xml:space="preserve"> el 6</w:t>
            </w:r>
            <w:r w:rsidR="00C515F8">
              <w:rPr>
                <w:rFonts w:ascii="Book Antiqua" w:hAnsi="Book Antiqua"/>
                <w:sz w:val="18"/>
                <w:szCs w:val="18"/>
              </w:rPr>
              <w:t>6</w:t>
            </w:r>
            <w:r w:rsidR="00B0061A">
              <w:rPr>
                <w:rFonts w:ascii="Book Antiqua" w:hAnsi="Book Antiqua"/>
                <w:sz w:val="18"/>
                <w:szCs w:val="18"/>
              </w:rPr>
              <w:t xml:space="preserve">% </w:t>
            </w:r>
            <w:r w:rsidR="000A3032">
              <w:rPr>
                <w:rFonts w:ascii="Book Antiqua" w:hAnsi="Book Antiqua"/>
                <w:sz w:val="18"/>
                <w:szCs w:val="18"/>
              </w:rPr>
              <w:t xml:space="preserve">reportaron como </w:t>
            </w:r>
            <w:r w:rsidR="005D0D83">
              <w:rPr>
                <w:rFonts w:ascii="Book Antiqua" w:hAnsi="Book Antiqua"/>
                <w:sz w:val="18"/>
                <w:szCs w:val="18"/>
              </w:rPr>
              <w:t xml:space="preserve">deficiente la implementación de </w:t>
            </w:r>
            <w:r w:rsidR="00D46EBD">
              <w:rPr>
                <w:rFonts w:ascii="Book Antiqua" w:hAnsi="Book Antiqua"/>
                <w:sz w:val="18"/>
                <w:szCs w:val="18"/>
              </w:rPr>
              <w:t xml:space="preserve">las </w:t>
            </w:r>
            <w:r w:rsidR="005D0D83">
              <w:rPr>
                <w:rFonts w:ascii="Book Antiqua" w:hAnsi="Book Antiqua"/>
                <w:sz w:val="18"/>
                <w:szCs w:val="18"/>
              </w:rPr>
              <w:t xml:space="preserve">medidas de descongestión.  </w:t>
            </w:r>
          </w:p>
        </w:tc>
      </w:tr>
    </w:tbl>
    <w:p w:rsidR="00221419" w:rsidRDefault="00221419" w:rsidP="00B0061A">
      <w:pPr>
        <w:adjustRightInd w:val="0"/>
        <w:spacing w:line="360" w:lineRule="auto"/>
        <w:jc w:val="both"/>
        <w:textAlignment w:val="baseline"/>
        <w:rPr>
          <w:rFonts w:ascii="Book Antiqua" w:hAnsi="Book Antiqua"/>
          <w:color w:val="000000"/>
          <w:sz w:val="24"/>
          <w:szCs w:val="24"/>
        </w:rPr>
      </w:pPr>
    </w:p>
    <w:p w:rsidR="00F83C09" w:rsidRDefault="00F83C09" w:rsidP="00B0061A">
      <w:pPr>
        <w:adjustRightInd w:val="0"/>
        <w:spacing w:line="360" w:lineRule="auto"/>
        <w:jc w:val="both"/>
        <w:textAlignment w:val="baseline"/>
        <w:rPr>
          <w:rFonts w:ascii="Book Antiqua" w:hAnsi="Book Antiqua"/>
          <w:color w:val="000000"/>
          <w:sz w:val="24"/>
          <w:szCs w:val="24"/>
        </w:rPr>
      </w:pPr>
    </w:p>
    <w:p w:rsidR="00F83C09" w:rsidRDefault="00F83C09" w:rsidP="00B0061A">
      <w:pPr>
        <w:adjustRightInd w:val="0"/>
        <w:spacing w:line="360" w:lineRule="auto"/>
        <w:jc w:val="both"/>
        <w:textAlignment w:val="baseline"/>
        <w:rPr>
          <w:rFonts w:ascii="Book Antiqua" w:hAnsi="Book Antiqua"/>
          <w:color w:val="000000"/>
          <w:sz w:val="24"/>
          <w:szCs w:val="24"/>
        </w:rPr>
      </w:pPr>
    </w:p>
    <w:tbl>
      <w:tblPr>
        <w:tblStyle w:val="Tablaconcuadrcula"/>
        <w:tblW w:w="0" w:type="auto"/>
        <w:tblLook w:val="04A0" w:firstRow="1" w:lastRow="0" w:firstColumn="1" w:lastColumn="0" w:noHBand="0" w:noVBand="1"/>
      </w:tblPr>
      <w:tblGrid>
        <w:gridCol w:w="8772"/>
      </w:tblGrid>
      <w:tr w:rsidR="00D40B9A" w:rsidTr="009F40B3">
        <w:tc>
          <w:tcPr>
            <w:tcW w:w="8772" w:type="dxa"/>
          </w:tcPr>
          <w:p w:rsidR="00D40B9A" w:rsidRDefault="00D40B9A" w:rsidP="00D17B63">
            <w:pPr>
              <w:jc w:val="center"/>
            </w:pPr>
            <w:r>
              <w:rPr>
                <w:noProof/>
                <w:lang w:val="es-CO" w:eastAsia="es-CO"/>
              </w:rPr>
              <w:lastRenderedPageBreak/>
              <w:drawing>
                <wp:inline distT="0" distB="0" distL="0" distR="0" wp14:anchorId="596A7C5D" wp14:editId="6531EEF3">
                  <wp:extent cx="5378400" cy="3513600"/>
                  <wp:effectExtent l="0" t="0" r="13335" b="10795"/>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D40B9A" w:rsidTr="009F40B3">
        <w:tc>
          <w:tcPr>
            <w:tcW w:w="8772" w:type="dxa"/>
          </w:tcPr>
          <w:p w:rsidR="00D46EBD" w:rsidRDefault="008A0479" w:rsidP="00D46EBD">
            <w:pPr>
              <w:jc w:val="both"/>
            </w:pPr>
            <w:r w:rsidRPr="008748D3">
              <w:rPr>
                <w:rFonts w:ascii="Book Antiqua" w:hAnsi="Book Antiqua"/>
                <w:sz w:val="18"/>
                <w:szCs w:val="18"/>
              </w:rPr>
              <w:t>Análisis:</w:t>
            </w:r>
            <w:r w:rsidR="006D1912">
              <w:rPr>
                <w:rFonts w:ascii="Book Antiqua" w:hAnsi="Book Antiqua"/>
                <w:sz w:val="18"/>
                <w:szCs w:val="18"/>
              </w:rPr>
              <w:t xml:space="preserve"> </w:t>
            </w:r>
            <w:r w:rsidR="00C935FD">
              <w:rPr>
                <w:rFonts w:ascii="Book Antiqua" w:hAnsi="Book Antiqua"/>
                <w:sz w:val="18"/>
                <w:szCs w:val="18"/>
              </w:rPr>
              <w:t xml:space="preserve">El </w:t>
            </w:r>
            <w:r w:rsidR="00E9666B">
              <w:rPr>
                <w:rFonts w:ascii="Book Antiqua" w:hAnsi="Book Antiqua"/>
                <w:sz w:val="18"/>
                <w:szCs w:val="18"/>
              </w:rPr>
              <w:t>100% de los 2</w:t>
            </w:r>
            <w:r w:rsidR="00C515F8">
              <w:rPr>
                <w:rFonts w:ascii="Book Antiqua" w:hAnsi="Book Antiqua"/>
                <w:sz w:val="18"/>
                <w:szCs w:val="18"/>
              </w:rPr>
              <w:t>6</w:t>
            </w:r>
            <w:r w:rsidR="00E9666B">
              <w:rPr>
                <w:rFonts w:ascii="Book Antiqua" w:hAnsi="Book Antiqua"/>
                <w:sz w:val="18"/>
                <w:szCs w:val="18"/>
              </w:rPr>
              <w:t xml:space="preserve"> distritos judiciales</w:t>
            </w:r>
            <w:r w:rsidR="000A3032">
              <w:rPr>
                <w:rFonts w:ascii="Book Antiqua" w:hAnsi="Book Antiqua"/>
                <w:sz w:val="18"/>
                <w:szCs w:val="18"/>
              </w:rPr>
              <w:t xml:space="preserve"> señalados, reportaron la falta de </w:t>
            </w:r>
            <w:r w:rsidR="00E9666B">
              <w:rPr>
                <w:rFonts w:ascii="Book Antiqua" w:hAnsi="Book Antiqua"/>
                <w:sz w:val="18"/>
                <w:szCs w:val="18"/>
              </w:rPr>
              <w:t>creación</w:t>
            </w:r>
            <w:r w:rsidR="00650AFC">
              <w:rPr>
                <w:rFonts w:ascii="Book Antiqua" w:hAnsi="Book Antiqua"/>
                <w:sz w:val="18"/>
                <w:szCs w:val="18"/>
              </w:rPr>
              <w:t xml:space="preserve"> de</w:t>
            </w:r>
            <w:r w:rsidR="00E9666B">
              <w:rPr>
                <w:rFonts w:ascii="Book Antiqua" w:hAnsi="Book Antiqua"/>
                <w:sz w:val="18"/>
                <w:szCs w:val="18"/>
              </w:rPr>
              <w:t xml:space="preserve"> cargos permanentes.</w:t>
            </w:r>
          </w:p>
        </w:tc>
      </w:tr>
    </w:tbl>
    <w:p w:rsidR="009F40B3" w:rsidRDefault="009F40B3" w:rsidP="00C94603">
      <w:pPr>
        <w:adjustRightInd w:val="0"/>
        <w:spacing w:line="360" w:lineRule="auto"/>
        <w:jc w:val="both"/>
        <w:textAlignment w:val="baseline"/>
        <w:rPr>
          <w:rFonts w:ascii="Book Antiqua" w:hAnsi="Book Antiqua"/>
          <w:color w:val="000000"/>
          <w:sz w:val="24"/>
          <w:szCs w:val="24"/>
        </w:rPr>
      </w:pPr>
    </w:p>
    <w:p w:rsidR="00C94603" w:rsidRDefault="00C94603" w:rsidP="00C94603">
      <w:pPr>
        <w:adjustRightInd w:val="0"/>
        <w:spacing w:line="360" w:lineRule="auto"/>
        <w:jc w:val="both"/>
        <w:textAlignment w:val="baseline"/>
        <w:rPr>
          <w:rFonts w:ascii="Book Antiqua" w:hAnsi="Book Antiqua"/>
          <w:color w:val="000000"/>
          <w:sz w:val="24"/>
          <w:szCs w:val="24"/>
        </w:rPr>
      </w:pPr>
      <w:r w:rsidRPr="00E141EC">
        <w:rPr>
          <w:rFonts w:ascii="Book Antiqua" w:hAnsi="Book Antiqua"/>
          <w:color w:val="000000"/>
          <w:sz w:val="24"/>
          <w:szCs w:val="24"/>
        </w:rPr>
        <w:t xml:space="preserve">Y por igual tiempo, esto es, hasta finales del 2018, la puesta en marcha del </w:t>
      </w:r>
      <w:r w:rsidR="00CA27F3">
        <w:rPr>
          <w:rFonts w:ascii="Book Antiqua" w:hAnsi="Book Antiqua"/>
          <w:color w:val="000000"/>
          <w:sz w:val="24"/>
          <w:szCs w:val="24"/>
        </w:rPr>
        <w:t>C</w:t>
      </w:r>
      <w:r w:rsidRPr="00E141EC">
        <w:rPr>
          <w:rFonts w:ascii="Book Antiqua" w:hAnsi="Book Antiqua"/>
          <w:color w:val="000000"/>
          <w:sz w:val="24"/>
          <w:szCs w:val="24"/>
        </w:rPr>
        <w:t xml:space="preserve">ódigo </w:t>
      </w:r>
      <w:r w:rsidR="00CA27F3">
        <w:rPr>
          <w:rFonts w:ascii="Book Antiqua" w:hAnsi="Book Antiqua"/>
          <w:color w:val="000000"/>
          <w:sz w:val="24"/>
          <w:szCs w:val="24"/>
        </w:rPr>
        <w:t>G</w:t>
      </w:r>
      <w:r w:rsidRPr="00E141EC">
        <w:rPr>
          <w:rFonts w:ascii="Book Antiqua" w:hAnsi="Book Antiqua"/>
          <w:color w:val="000000"/>
          <w:sz w:val="24"/>
          <w:szCs w:val="24"/>
        </w:rPr>
        <w:t xml:space="preserve">eneral del </w:t>
      </w:r>
      <w:r w:rsidR="00CA27F3">
        <w:rPr>
          <w:rFonts w:ascii="Book Antiqua" w:hAnsi="Book Antiqua"/>
          <w:color w:val="000000"/>
          <w:sz w:val="24"/>
          <w:szCs w:val="24"/>
        </w:rPr>
        <w:t>P</w:t>
      </w:r>
      <w:r w:rsidRPr="00E141EC">
        <w:rPr>
          <w:rFonts w:ascii="Book Antiqua" w:hAnsi="Book Antiqua"/>
          <w:color w:val="000000"/>
          <w:sz w:val="24"/>
          <w:szCs w:val="24"/>
        </w:rPr>
        <w:t>roceso en todo el país, espacio que debe permitir una evaluación del proceso de incorporación en las áreas civil y familia de la ley 1395 de 2010 y un estudio comparativo de cómo ha sido la respuesta que el aparato de justicia ha d</w:t>
      </w:r>
      <w:r w:rsidR="00ED677B">
        <w:rPr>
          <w:rFonts w:ascii="Book Antiqua" w:hAnsi="Book Antiqua"/>
          <w:color w:val="000000"/>
          <w:sz w:val="24"/>
          <w:szCs w:val="24"/>
        </w:rPr>
        <w:t>ado al usuario, en estos años, tanto e</w:t>
      </w:r>
      <w:r w:rsidRPr="00E141EC">
        <w:rPr>
          <w:rFonts w:ascii="Book Antiqua" w:hAnsi="Book Antiqua"/>
          <w:color w:val="000000"/>
          <w:sz w:val="24"/>
          <w:szCs w:val="24"/>
        </w:rPr>
        <w:t xml:space="preserve">n aquellos distritos que beneficiados con medidas de descongestión </w:t>
      </w:r>
      <w:r w:rsidR="00ED677B">
        <w:rPr>
          <w:rFonts w:ascii="Book Antiqua" w:hAnsi="Book Antiqua"/>
          <w:color w:val="000000"/>
          <w:sz w:val="24"/>
          <w:szCs w:val="24"/>
        </w:rPr>
        <w:t xml:space="preserve">que </w:t>
      </w:r>
      <w:r w:rsidRPr="00E141EC">
        <w:rPr>
          <w:rFonts w:ascii="Book Antiqua" w:hAnsi="Book Antiqua"/>
          <w:color w:val="000000"/>
          <w:sz w:val="24"/>
          <w:szCs w:val="24"/>
        </w:rPr>
        <w:t>siguen en aplicación del proceso predominantemente escrito</w:t>
      </w:r>
      <w:r w:rsidR="009E0335">
        <w:rPr>
          <w:rFonts w:ascii="Book Antiqua" w:hAnsi="Book Antiqua"/>
          <w:color w:val="000000"/>
          <w:sz w:val="24"/>
          <w:szCs w:val="24"/>
        </w:rPr>
        <w:t>, como los que están en el sistema oral de la citada ley</w:t>
      </w:r>
      <w:r w:rsidR="000D2B67">
        <w:rPr>
          <w:rFonts w:ascii="Book Antiqua" w:hAnsi="Book Antiqua"/>
          <w:color w:val="000000"/>
          <w:sz w:val="24"/>
          <w:szCs w:val="24"/>
        </w:rPr>
        <w:t>.</w:t>
      </w:r>
    </w:p>
    <w:p w:rsidR="002312D3" w:rsidRDefault="002312D3" w:rsidP="00500241">
      <w:pPr>
        <w:spacing w:after="0" w:line="360" w:lineRule="auto"/>
        <w:ind w:left="426" w:hanging="426"/>
        <w:jc w:val="both"/>
        <w:rPr>
          <w:rFonts w:ascii="Book Antiqua" w:hAnsi="Book Antiqua"/>
          <w:b/>
          <w:sz w:val="24"/>
          <w:szCs w:val="24"/>
          <w:lang w:val="es-CO"/>
        </w:rPr>
      </w:pPr>
    </w:p>
    <w:p w:rsidR="0009121B" w:rsidRPr="000D2B67" w:rsidRDefault="00ED51FC" w:rsidP="00500241">
      <w:pPr>
        <w:spacing w:after="0" w:line="360" w:lineRule="auto"/>
        <w:ind w:left="426" w:hanging="426"/>
        <w:jc w:val="both"/>
        <w:rPr>
          <w:rFonts w:ascii="Book Antiqua" w:hAnsi="Book Antiqua"/>
          <w:b/>
          <w:sz w:val="24"/>
          <w:szCs w:val="24"/>
          <w:lang w:val="es-CO"/>
        </w:rPr>
      </w:pPr>
      <w:r w:rsidRPr="000D2B67">
        <w:rPr>
          <w:rFonts w:ascii="Book Antiqua" w:hAnsi="Book Antiqua"/>
          <w:b/>
          <w:sz w:val="24"/>
          <w:szCs w:val="24"/>
          <w:lang w:val="es-CO"/>
        </w:rPr>
        <w:t>3.</w:t>
      </w:r>
      <w:r w:rsidR="006A4A73" w:rsidRPr="000D2B67">
        <w:rPr>
          <w:rFonts w:ascii="Book Antiqua" w:hAnsi="Book Antiqua"/>
          <w:b/>
          <w:sz w:val="24"/>
          <w:szCs w:val="24"/>
          <w:lang w:val="es-CO"/>
        </w:rPr>
        <w:t>-</w:t>
      </w:r>
      <w:r w:rsidR="002312D3">
        <w:rPr>
          <w:rFonts w:ascii="Book Antiqua" w:hAnsi="Book Antiqua"/>
          <w:b/>
          <w:sz w:val="24"/>
          <w:szCs w:val="24"/>
          <w:lang w:val="es-CO"/>
        </w:rPr>
        <w:t xml:space="preserve"> </w:t>
      </w:r>
      <w:r w:rsidR="00500241" w:rsidRPr="000D2B67">
        <w:rPr>
          <w:rFonts w:ascii="Book Antiqua" w:hAnsi="Book Antiqua"/>
          <w:b/>
          <w:sz w:val="24"/>
          <w:szCs w:val="24"/>
          <w:lang w:val="es-CO"/>
        </w:rPr>
        <w:t>AN</w:t>
      </w:r>
      <w:r w:rsidR="006551D9">
        <w:rPr>
          <w:rFonts w:ascii="Book Antiqua" w:hAnsi="Book Antiqua"/>
          <w:b/>
          <w:sz w:val="24"/>
          <w:szCs w:val="24"/>
          <w:lang w:val="es-CO"/>
        </w:rPr>
        <w:t>Á</w:t>
      </w:r>
      <w:r w:rsidR="00500241" w:rsidRPr="000D2B67">
        <w:rPr>
          <w:rFonts w:ascii="Book Antiqua" w:hAnsi="Book Antiqua"/>
          <w:b/>
          <w:sz w:val="24"/>
          <w:szCs w:val="24"/>
          <w:lang w:val="es-CO"/>
        </w:rPr>
        <w:t xml:space="preserve">LISIS </w:t>
      </w:r>
      <w:r w:rsidR="001D5EB8" w:rsidRPr="000D2B67">
        <w:rPr>
          <w:rFonts w:ascii="Book Antiqua" w:hAnsi="Book Antiqua"/>
          <w:b/>
          <w:sz w:val="24"/>
          <w:szCs w:val="24"/>
          <w:lang w:val="es-CO"/>
        </w:rPr>
        <w:t>ESTADÍSTICO</w:t>
      </w:r>
      <w:r w:rsidR="00500241" w:rsidRPr="000D2B67">
        <w:rPr>
          <w:rFonts w:ascii="Book Antiqua" w:hAnsi="Book Antiqua"/>
          <w:b/>
          <w:sz w:val="24"/>
          <w:szCs w:val="24"/>
          <w:lang w:val="es-CO"/>
        </w:rPr>
        <w:t xml:space="preserve"> JUZGADOS </w:t>
      </w:r>
      <w:r w:rsidR="000D2B67" w:rsidRPr="000D2B67">
        <w:rPr>
          <w:rFonts w:ascii="Book Antiqua" w:hAnsi="Book Antiqua"/>
          <w:b/>
          <w:sz w:val="24"/>
          <w:szCs w:val="24"/>
          <w:lang w:val="es-CO"/>
        </w:rPr>
        <w:t>DE ORALIDAD C</w:t>
      </w:r>
      <w:r w:rsidR="00500241" w:rsidRPr="000D2B67">
        <w:rPr>
          <w:rFonts w:ascii="Book Antiqua" w:hAnsi="Book Antiqua"/>
          <w:b/>
          <w:sz w:val="24"/>
          <w:szCs w:val="24"/>
          <w:lang w:val="es-CO"/>
        </w:rPr>
        <w:t>IVILES Y DE F</w:t>
      </w:r>
      <w:r w:rsidR="000D2B67" w:rsidRPr="000D2B67">
        <w:rPr>
          <w:rFonts w:ascii="Book Antiqua" w:hAnsi="Book Antiqua"/>
          <w:b/>
          <w:sz w:val="24"/>
          <w:szCs w:val="24"/>
          <w:lang w:val="es-CO"/>
        </w:rPr>
        <w:t>A</w:t>
      </w:r>
      <w:r w:rsidR="00500241" w:rsidRPr="000D2B67">
        <w:rPr>
          <w:rFonts w:ascii="Book Antiqua" w:hAnsi="Book Antiqua"/>
          <w:b/>
          <w:sz w:val="24"/>
          <w:szCs w:val="24"/>
          <w:lang w:val="es-CO"/>
        </w:rPr>
        <w:t xml:space="preserve">MILIA DEL DISTRITO JUDICIAL DE BOGOTÁ </w:t>
      </w:r>
    </w:p>
    <w:p w:rsidR="00A928C7" w:rsidRDefault="00A928C7" w:rsidP="000D2B67">
      <w:pPr>
        <w:spacing w:after="0" w:line="240" w:lineRule="auto"/>
        <w:ind w:left="567" w:hanging="567"/>
        <w:jc w:val="both"/>
        <w:rPr>
          <w:rFonts w:ascii="Book Antiqua" w:hAnsi="Book Antiqua"/>
          <w:b/>
          <w:sz w:val="24"/>
          <w:szCs w:val="24"/>
          <w:lang w:val="es-CO"/>
        </w:rPr>
      </w:pPr>
    </w:p>
    <w:p w:rsidR="00A928C7" w:rsidRPr="000D2B67" w:rsidRDefault="00A928C7" w:rsidP="000D2B67">
      <w:pPr>
        <w:spacing w:after="0" w:line="240" w:lineRule="auto"/>
        <w:ind w:left="567" w:hanging="567"/>
        <w:jc w:val="both"/>
        <w:rPr>
          <w:rFonts w:ascii="Book Antiqua" w:hAnsi="Book Antiqua"/>
          <w:b/>
          <w:sz w:val="24"/>
          <w:szCs w:val="24"/>
          <w:lang w:val="es-CO"/>
        </w:rPr>
      </w:pPr>
    </w:p>
    <w:p w:rsidR="001D5EB8" w:rsidRPr="000D2B67" w:rsidRDefault="0009121B" w:rsidP="000D2B67">
      <w:pPr>
        <w:spacing w:after="0" w:line="360" w:lineRule="auto"/>
        <w:ind w:left="567" w:hanging="567"/>
        <w:jc w:val="both"/>
        <w:rPr>
          <w:rFonts w:ascii="Book Antiqua" w:hAnsi="Book Antiqua"/>
          <w:b/>
          <w:sz w:val="24"/>
          <w:szCs w:val="24"/>
          <w:lang w:val="es-CO"/>
        </w:rPr>
      </w:pPr>
      <w:r w:rsidRPr="000D2B67">
        <w:rPr>
          <w:rFonts w:ascii="Book Antiqua" w:hAnsi="Book Antiqua"/>
          <w:b/>
          <w:sz w:val="24"/>
          <w:szCs w:val="24"/>
          <w:lang w:val="es-CO"/>
        </w:rPr>
        <w:t>3.1.</w:t>
      </w:r>
      <w:r w:rsidR="00500241" w:rsidRPr="000D2B67">
        <w:rPr>
          <w:rFonts w:ascii="Book Antiqua" w:hAnsi="Book Antiqua"/>
          <w:b/>
          <w:sz w:val="24"/>
          <w:szCs w:val="24"/>
          <w:lang w:val="es-CO"/>
        </w:rPr>
        <w:t>-</w:t>
      </w:r>
      <w:r w:rsidR="002312D3">
        <w:rPr>
          <w:rFonts w:ascii="Book Antiqua" w:hAnsi="Book Antiqua"/>
          <w:b/>
          <w:sz w:val="24"/>
          <w:szCs w:val="24"/>
          <w:lang w:val="es-CO"/>
        </w:rPr>
        <w:t xml:space="preserve"> </w:t>
      </w:r>
      <w:r w:rsidR="00ED51FC" w:rsidRPr="000D2B67">
        <w:rPr>
          <w:rFonts w:ascii="Book Antiqua" w:hAnsi="Book Antiqua"/>
          <w:b/>
          <w:sz w:val="24"/>
          <w:szCs w:val="24"/>
          <w:lang w:val="es-CO"/>
        </w:rPr>
        <w:t xml:space="preserve">JUZGADOS CIVILES DE ORALIDAD </w:t>
      </w:r>
    </w:p>
    <w:p w:rsidR="000D2B67" w:rsidRDefault="000D2B67" w:rsidP="006A4A73">
      <w:pPr>
        <w:spacing w:after="0" w:line="360" w:lineRule="auto"/>
        <w:jc w:val="both"/>
        <w:rPr>
          <w:rFonts w:ascii="Book Antiqua" w:hAnsi="Book Antiqua"/>
          <w:sz w:val="24"/>
          <w:szCs w:val="24"/>
          <w:lang w:val="es-CO"/>
        </w:rPr>
      </w:pPr>
    </w:p>
    <w:p w:rsidR="00BA7FE8" w:rsidRDefault="006A4A73" w:rsidP="00BA7FE8">
      <w:pPr>
        <w:spacing w:after="0" w:line="360" w:lineRule="auto"/>
        <w:jc w:val="both"/>
        <w:rPr>
          <w:rFonts w:ascii="Book Antiqua" w:hAnsi="Book Antiqua"/>
          <w:sz w:val="24"/>
          <w:szCs w:val="24"/>
          <w:lang w:val="es-CO"/>
        </w:rPr>
      </w:pPr>
      <w:r>
        <w:rPr>
          <w:rFonts w:ascii="Book Antiqua" w:hAnsi="Book Antiqua"/>
          <w:sz w:val="24"/>
          <w:szCs w:val="24"/>
          <w:lang w:val="es-CO"/>
        </w:rPr>
        <w:t xml:space="preserve">Los </w:t>
      </w:r>
      <w:r w:rsidRPr="00E141EC">
        <w:rPr>
          <w:rFonts w:ascii="Book Antiqua" w:hAnsi="Book Antiqua"/>
          <w:sz w:val="24"/>
          <w:szCs w:val="24"/>
          <w:lang w:val="es-CO"/>
        </w:rPr>
        <w:t>Juzgados de oralidad en Civil, las estadísticas de reparto desde el momento en que arranca el sistema de oralidad con</w:t>
      </w:r>
      <w:r w:rsidR="009473EA">
        <w:rPr>
          <w:rFonts w:ascii="Book Antiqua" w:hAnsi="Book Antiqua"/>
          <w:sz w:val="24"/>
          <w:szCs w:val="24"/>
          <w:lang w:val="es-CO"/>
        </w:rPr>
        <w:t xml:space="preserve"> la</w:t>
      </w:r>
      <w:r w:rsidRPr="00E141EC">
        <w:rPr>
          <w:rFonts w:ascii="Book Antiqua" w:hAnsi="Book Antiqua"/>
          <w:sz w:val="24"/>
          <w:szCs w:val="24"/>
          <w:lang w:val="es-CO"/>
        </w:rPr>
        <w:t xml:space="preserve"> Ley 1395 de 2010, indican, que con el número de Jueces disponibles, con insuficiente infraestructura física y </w:t>
      </w:r>
      <w:r w:rsidRPr="00E141EC">
        <w:rPr>
          <w:rFonts w:ascii="Book Antiqua" w:hAnsi="Book Antiqua"/>
          <w:sz w:val="24"/>
          <w:szCs w:val="24"/>
          <w:lang w:val="es-CO"/>
        </w:rPr>
        <w:lastRenderedPageBreak/>
        <w:t>tecnológica,</w:t>
      </w:r>
      <w:r w:rsidR="00BA7FE8">
        <w:rPr>
          <w:rFonts w:ascii="Book Antiqua" w:hAnsi="Book Antiqua"/>
          <w:sz w:val="24"/>
          <w:szCs w:val="24"/>
          <w:lang w:val="es-CO"/>
        </w:rPr>
        <w:t xml:space="preserve"> no es suficiente</w:t>
      </w:r>
      <w:r w:rsidRPr="00E141EC">
        <w:rPr>
          <w:rFonts w:ascii="Book Antiqua" w:hAnsi="Book Antiqua"/>
          <w:sz w:val="24"/>
          <w:szCs w:val="24"/>
          <w:lang w:val="es-CO"/>
        </w:rPr>
        <w:t xml:space="preserve"> para resolver el problema de congestión judicial y muy por el contrario, la </w:t>
      </w:r>
      <w:r>
        <w:rPr>
          <w:rFonts w:ascii="Book Antiqua" w:hAnsi="Book Antiqua"/>
          <w:sz w:val="24"/>
          <w:szCs w:val="24"/>
          <w:lang w:val="es-CO"/>
        </w:rPr>
        <w:t>R</w:t>
      </w:r>
      <w:r w:rsidRPr="00E141EC">
        <w:rPr>
          <w:rFonts w:ascii="Book Antiqua" w:hAnsi="Book Antiqua"/>
          <w:sz w:val="24"/>
          <w:szCs w:val="24"/>
          <w:lang w:val="es-CO"/>
        </w:rPr>
        <w:t xml:space="preserve">ama </w:t>
      </w:r>
      <w:r>
        <w:rPr>
          <w:rFonts w:ascii="Book Antiqua" w:hAnsi="Book Antiqua"/>
          <w:sz w:val="24"/>
          <w:szCs w:val="24"/>
          <w:lang w:val="es-CO"/>
        </w:rPr>
        <w:t>J</w:t>
      </w:r>
      <w:r w:rsidRPr="00E141EC">
        <w:rPr>
          <w:rFonts w:ascii="Book Antiqua" w:hAnsi="Book Antiqua"/>
          <w:sz w:val="24"/>
          <w:szCs w:val="24"/>
          <w:lang w:val="es-CO"/>
        </w:rPr>
        <w:t>udicial se verá abocada a la mayor crisis de congestión de su historia</w:t>
      </w:r>
      <w:r w:rsidR="00BA7FE8">
        <w:rPr>
          <w:rFonts w:ascii="Book Antiqua" w:hAnsi="Book Antiqua"/>
          <w:sz w:val="24"/>
          <w:szCs w:val="24"/>
          <w:lang w:val="es-CO"/>
        </w:rPr>
        <w:t>.</w:t>
      </w:r>
    </w:p>
    <w:p w:rsidR="00BA7FE8" w:rsidRDefault="00BA7FE8" w:rsidP="00BA7FE8">
      <w:pPr>
        <w:spacing w:after="0" w:line="360" w:lineRule="auto"/>
        <w:jc w:val="both"/>
        <w:rPr>
          <w:rFonts w:ascii="Book Antiqua" w:hAnsi="Book Antiqua"/>
          <w:sz w:val="24"/>
          <w:szCs w:val="24"/>
          <w:lang w:val="es-CO"/>
        </w:rPr>
      </w:pPr>
    </w:p>
    <w:p w:rsidR="00813CB5" w:rsidRDefault="00BA7FE8" w:rsidP="006A4A73">
      <w:pPr>
        <w:spacing w:after="0" w:line="360" w:lineRule="auto"/>
        <w:jc w:val="both"/>
        <w:rPr>
          <w:rFonts w:ascii="Book Antiqua" w:hAnsi="Book Antiqua"/>
          <w:sz w:val="24"/>
          <w:szCs w:val="24"/>
          <w:lang w:val="es-CO"/>
        </w:rPr>
      </w:pPr>
      <w:r>
        <w:rPr>
          <w:rFonts w:ascii="Book Antiqua" w:hAnsi="Book Antiqua"/>
          <w:sz w:val="24"/>
          <w:szCs w:val="24"/>
          <w:lang w:val="es-CO"/>
        </w:rPr>
        <w:t>La</w:t>
      </w:r>
      <w:r w:rsidRPr="00E141EC">
        <w:rPr>
          <w:rFonts w:ascii="Book Antiqua" w:hAnsi="Book Antiqua"/>
          <w:sz w:val="24"/>
          <w:szCs w:val="24"/>
          <w:lang w:val="es-CO"/>
        </w:rPr>
        <w:t xml:space="preserve"> sobrecarga laboral</w:t>
      </w:r>
      <w:r>
        <w:rPr>
          <w:rFonts w:ascii="Book Antiqua" w:hAnsi="Book Antiqua"/>
          <w:sz w:val="24"/>
          <w:szCs w:val="24"/>
          <w:lang w:val="es-CO"/>
        </w:rPr>
        <w:t xml:space="preserve"> que se presenta de conformidad con el </w:t>
      </w:r>
      <w:r w:rsidRPr="00E141EC">
        <w:rPr>
          <w:rFonts w:ascii="Book Antiqua" w:hAnsi="Book Antiqua"/>
          <w:sz w:val="24"/>
          <w:szCs w:val="24"/>
          <w:lang w:val="es-CO"/>
        </w:rPr>
        <w:t>Informe de Estimación de Cargas Razonables de Trabajo, elaborado por el Banco Mundial</w:t>
      </w:r>
      <w:r w:rsidRPr="00E141EC">
        <w:rPr>
          <w:rStyle w:val="Refdenotaalpie"/>
          <w:rFonts w:ascii="Book Antiqua" w:hAnsi="Book Antiqua"/>
          <w:sz w:val="24"/>
          <w:szCs w:val="24"/>
          <w:lang w:val="es-CO"/>
        </w:rPr>
        <w:footnoteReference w:id="5"/>
      </w:r>
      <w:r w:rsidRPr="00E141EC">
        <w:rPr>
          <w:rFonts w:ascii="Book Antiqua" w:hAnsi="Book Antiqua"/>
          <w:sz w:val="24"/>
          <w:szCs w:val="24"/>
          <w:lang w:val="es-CO"/>
        </w:rPr>
        <w:t xml:space="preserve"> para el Consejo Superior de la Judicatura, plantea como CRT, para los juzgados  civiles municipales un número de 679  procesos, y para los juzgados civiles del circuito 342 cifra que ya alcanzaron en 4 meses los juzgados que ingresaron al sistema oral</w:t>
      </w:r>
      <w:r>
        <w:rPr>
          <w:rFonts w:ascii="Book Antiqua" w:hAnsi="Book Antiqua"/>
          <w:sz w:val="24"/>
          <w:szCs w:val="24"/>
          <w:lang w:val="es-CO"/>
        </w:rPr>
        <w:t xml:space="preserve">es, </w:t>
      </w:r>
      <w:r w:rsidR="00A701A3">
        <w:rPr>
          <w:rFonts w:ascii="Book Antiqua" w:hAnsi="Book Antiqua"/>
          <w:sz w:val="24"/>
          <w:szCs w:val="24"/>
          <w:lang w:val="es-CO"/>
        </w:rPr>
        <w:t xml:space="preserve">presentándose </w:t>
      </w:r>
      <w:r w:rsidR="005B5166">
        <w:rPr>
          <w:rFonts w:ascii="Book Antiqua" w:hAnsi="Book Antiqua"/>
          <w:sz w:val="24"/>
          <w:szCs w:val="24"/>
          <w:lang w:val="es-CO"/>
        </w:rPr>
        <w:t xml:space="preserve">las siguientes cifras: </w:t>
      </w:r>
    </w:p>
    <w:p w:rsidR="000B6E3B" w:rsidRPr="00002015" w:rsidRDefault="000B6E3B" w:rsidP="000B6E3B">
      <w:pPr>
        <w:pStyle w:val="Ttulo1"/>
        <w:jc w:val="center"/>
        <w:rPr>
          <w:rFonts w:eastAsia="Times New Roman"/>
          <w:b/>
          <w:color w:val="auto"/>
          <w:sz w:val="24"/>
          <w:szCs w:val="24"/>
          <w:lang w:val="es-CO" w:eastAsia="es-ES"/>
        </w:rPr>
      </w:pPr>
      <w:r w:rsidRPr="00002015">
        <w:rPr>
          <w:rFonts w:eastAsia="Times New Roman"/>
          <w:b/>
          <w:color w:val="auto"/>
          <w:sz w:val="24"/>
          <w:szCs w:val="24"/>
          <w:lang w:val="es-CO" w:eastAsia="es-ES"/>
        </w:rPr>
        <w:t xml:space="preserve">ESTADÍSTICA DE REPARTO JUZGADOS </w:t>
      </w:r>
      <w:r w:rsidR="009A0408" w:rsidRPr="00002015">
        <w:rPr>
          <w:rFonts w:eastAsia="Times New Roman"/>
          <w:b/>
          <w:color w:val="auto"/>
          <w:sz w:val="24"/>
          <w:szCs w:val="24"/>
          <w:lang w:val="es-CO" w:eastAsia="es-ES"/>
        </w:rPr>
        <w:t xml:space="preserve">CIVILES </w:t>
      </w:r>
      <w:r w:rsidRPr="00002015">
        <w:rPr>
          <w:rFonts w:eastAsia="Times New Roman"/>
          <w:b/>
          <w:color w:val="auto"/>
          <w:sz w:val="24"/>
          <w:szCs w:val="24"/>
          <w:lang w:val="es-CO" w:eastAsia="es-ES"/>
        </w:rPr>
        <w:t>DEL CIRCUITO DE ORALIDAD</w:t>
      </w:r>
    </w:p>
    <w:p w:rsidR="009F40B3" w:rsidRPr="00002015" w:rsidRDefault="009F40B3" w:rsidP="000B6E3B">
      <w:pPr>
        <w:pStyle w:val="Ttulo2"/>
        <w:jc w:val="center"/>
        <w:rPr>
          <w:color w:val="auto"/>
          <w:lang w:val="es-CO"/>
        </w:rPr>
      </w:pPr>
    </w:p>
    <w:p w:rsidR="000B6E3B" w:rsidRPr="00002015" w:rsidRDefault="000B6E3B" w:rsidP="000B6E3B">
      <w:pPr>
        <w:pStyle w:val="Ttulo2"/>
        <w:jc w:val="center"/>
        <w:rPr>
          <w:b/>
          <w:color w:val="auto"/>
          <w:lang w:val="es-CO"/>
        </w:rPr>
      </w:pPr>
      <w:r w:rsidRPr="00002015">
        <w:rPr>
          <w:b/>
          <w:color w:val="auto"/>
          <w:lang w:val="es-CO"/>
        </w:rPr>
        <w:t>Reparto Mensual: Marzo a Julio</w:t>
      </w:r>
    </w:p>
    <w:tbl>
      <w:tblPr>
        <w:tblW w:w="8926"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8EA9DB"/>
        </w:tblBorders>
        <w:shd w:val="clear" w:color="auto" w:fill="FFFFFF" w:themeFill="background1"/>
        <w:tblCellMar>
          <w:left w:w="70" w:type="dxa"/>
          <w:right w:w="70" w:type="dxa"/>
        </w:tblCellMar>
        <w:tblLook w:val="04A0" w:firstRow="1" w:lastRow="0" w:firstColumn="1" w:lastColumn="0" w:noHBand="0" w:noVBand="1"/>
      </w:tblPr>
      <w:tblGrid>
        <w:gridCol w:w="1320"/>
        <w:gridCol w:w="1320"/>
        <w:gridCol w:w="1320"/>
        <w:gridCol w:w="1320"/>
        <w:gridCol w:w="1320"/>
        <w:gridCol w:w="1320"/>
        <w:gridCol w:w="1006"/>
      </w:tblGrid>
      <w:tr w:rsidR="000651C4" w:rsidRPr="000651C4" w:rsidTr="000651C4">
        <w:trPr>
          <w:trHeight w:val="555"/>
          <w:jc w:val="center"/>
        </w:trPr>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Juzgado</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Marzo</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Abril</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Mayo</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Junio</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Julio</w:t>
            </w:r>
          </w:p>
        </w:tc>
        <w:tc>
          <w:tcPr>
            <w:tcW w:w="1006" w:type="dxa"/>
            <w:shd w:val="clear" w:color="auto" w:fill="D9D9D9" w:themeFill="background1" w:themeFillShade="D9"/>
            <w:vAlign w:val="center"/>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Total</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01</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280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192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198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228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219</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1117</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17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275</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177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184</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222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216</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1074</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20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278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178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200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207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215</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1078</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31</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292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199</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229</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241</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271</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1232</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Juzgado32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72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448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207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228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248</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1203</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Juzgado34</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269</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182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187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206</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214</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1058</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37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262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176</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183</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205</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222</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1048</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38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312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156</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218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246</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266</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1198</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43</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277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196</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189</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205</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225</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1092</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44</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76</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450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226</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290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286</w:t>
            </w:r>
          </w:p>
        </w:tc>
        <w:tc>
          <w:tcPr>
            <w:tcW w:w="1006" w:type="dxa"/>
            <w:shd w:val="clear" w:color="auto" w:fill="FFFFFF" w:themeFill="background1"/>
            <w:vAlign w:val="bottom"/>
          </w:tcPr>
          <w:p w:rsidR="008565E1" w:rsidRPr="00E6640D" w:rsidRDefault="008565E1" w:rsidP="000A3032">
            <w:pPr>
              <w:spacing w:after="0" w:line="240" w:lineRule="auto"/>
              <w:jc w:val="right"/>
              <w:rPr>
                <w:rFonts w:ascii="Arial" w:eastAsia="Times New Roman" w:hAnsi="Arial" w:cs="Arial"/>
                <w:color w:val="000000"/>
                <w:lang w:eastAsia="es-ES"/>
              </w:rPr>
            </w:pPr>
            <w:r w:rsidRPr="00E6640D">
              <w:rPr>
                <w:rFonts w:ascii="Arial" w:eastAsia="Times New Roman" w:hAnsi="Arial" w:cs="Arial"/>
                <w:color w:val="000000"/>
                <w:lang w:eastAsia="es-ES"/>
              </w:rPr>
              <w:t>1328</w:t>
            </w:r>
          </w:p>
        </w:tc>
      </w:tr>
      <w:tr w:rsidR="008565E1" w:rsidRPr="0060136A" w:rsidTr="00560F5D">
        <w:trPr>
          <w:trHeight w:val="285"/>
          <w:jc w:val="center"/>
        </w:trPr>
        <w:tc>
          <w:tcPr>
            <w:tcW w:w="1320" w:type="dxa"/>
            <w:shd w:val="clear" w:color="auto" w:fill="D9D9D9" w:themeFill="background1" w:themeFillShade="D9"/>
            <w:noWrap/>
            <w:vAlign w:val="bottom"/>
            <w:hideMark/>
          </w:tcPr>
          <w:p w:rsidR="008565E1" w:rsidRPr="0060136A" w:rsidRDefault="008565E1" w:rsidP="000A3032">
            <w:pPr>
              <w:spacing w:after="0" w:line="240" w:lineRule="auto"/>
              <w:rPr>
                <w:rFonts w:ascii="Arial" w:eastAsia="Times New Roman" w:hAnsi="Arial" w:cs="Arial"/>
                <w:b/>
                <w:color w:val="000000"/>
                <w:lang w:eastAsia="es-ES"/>
              </w:rPr>
            </w:pPr>
            <w:r w:rsidRPr="0060136A">
              <w:rPr>
                <w:rFonts w:ascii="Arial" w:eastAsia="Times New Roman" w:hAnsi="Arial" w:cs="Arial"/>
                <w:b/>
                <w:color w:val="000000"/>
                <w:lang w:eastAsia="es-ES"/>
              </w:rPr>
              <w:t>TOTAL</w:t>
            </w:r>
          </w:p>
        </w:tc>
        <w:tc>
          <w:tcPr>
            <w:tcW w:w="1320" w:type="dxa"/>
            <w:shd w:val="clear" w:color="auto" w:fill="D9D9D9" w:themeFill="background1" w:themeFillShade="D9"/>
            <w:noWrap/>
            <w:vAlign w:val="bottom"/>
            <w:hideMark/>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2393</w:t>
            </w:r>
          </w:p>
        </w:tc>
        <w:tc>
          <w:tcPr>
            <w:tcW w:w="1320" w:type="dxa"/>
            <w:shd w:val="clear" w:color="auto" w:fill="D9D9D9" w:themeFill="background1" w:themeFillShade="D9"/>
            <w:noWrap/>
            <w:vAlign w:val="bottom"/>
            <w:hideMark/>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2354</w:t>
            </w:r>
          </w:p>
        </w:tc>
        <w:tc>
          <w:tcPr>
            <w:tcW w:w="1320" w:type="dxa"/>
            <w:shd w:val="clear" w:color="auto" w:fill="D9D9D9" w:themeFill="background1" w:themeFillShade="D9"/>
            <w:noWrap/>
            <w:vAlign w:val="bottom"/>
            <w:hideMark/>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2021</w:t>
            </w:r>
          </w:p>
        </w:tc>
        <w:tc>
          <w:tcPr>
            <w:tcW w:w="1320" w:type="dxa"/>
            <w:shd w:val="clear" w:color="auto" w:fill="D9D9D9" w:themeFill="background1" w:themeFillShade="D9"/>
            <w:noWrap/>
            <w:vAlign w:val="bottom"/>
            <w:hideMark/>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2278</w:t>
            </w:r>
          </w:p>
        </w:tc>
        <w:tc>
          <w:tcPr>
            <w:tcW w:w="1320" w:type="dxa"/>
            <w:shd w:val="clear" w:color="auto" w:fill="D9D9D9" w:themeFill="background1" w:themeFillShade="D9"/>
            <w:noWrap/>
            <w:vAlign w:val="bottom"/>
            <w:hideMark/>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2382</w:t>
            </w:r>
          </w:p>
        </w:tc>
        <w:tc>
          <w:tcPr>
            <w:tcW w:w="1006" w:type="dxa"/>
            <w:shd w:val="clear" w:color="auto" w:fill="D9D9D9" w:themeFill="background1" w:themeFillShade="D9"/>
            <w:vAlign w:val="bottom"/>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11428</w:t>
            </w:r>
          </w:p>
        </w:tc>
      </w:tr>
    </w:tbl>
    <w:p w:rsidR="00A928C7" w:rsidRDefault="00A928C7" w:rsidP="008565E1">
      <w:pPr>
        <w:rPr>
          <w:lang w:val="es-CO"/>
        </w:rPr>
      </w:pPr>
    </w:p>
    <w:p w:rsidR="000B6E3B" w:rsidRPr="00002015" w:rsidRDefault="000B6E3B" w:rsidP="000B6E3B">
      <w:pPr>
        <w:pStyle w:val="Ttulo2"/>
        <w:jc w:val="center"/>
        <w:rPr>
          <w:b/>
          <w:color w:val="auto"/>
          <w:lang w:val="es-CO"/>
        </w:rPr>
      </w:pPr>
      <w:r w:rsidRPr="00002015">
        <w:rPr>
          <w:b/>
          <w:color w:val="auto"/>
          <w:lang w:val="es-CO"/>
        </w:rPr>
        <w:t>Reparto Diario: Agosto 3 a</w:t>
      </w:r>
      <w:r w:rsidR="00002015" w:rsidRPr="00002015">
        <w:rPr>
          <w:b/>
          <w:color w:val="auto"/>
          <w:lang w:val="es-CO"/>
        </w:rPr>
        <w:t>l</w:t>
      </w:r>
      <w:r w:rsidRPr="00002015">
        <w:rPr>
          <w:b/>
          <w:color w:val="auto"/>
          <w:lang w:val="es-CO"/>
        </w:rPr>
        <w:t xml:space="preserve"> 6</w:t>
      </w:r>
    </w:p>
    <w:tbl>
      <w:tblPr>
        <w:tblW w:w="7920"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8EA9DB"/>
        </w:tblBorders>
        <w:tblCellMar>
          <w:left w:w="70" w:type="dxa"/>
          <w:right w:w="70" w:type="dxa"/>
        </w:tblCellMar>
        <w:tblLook w:val="04A0" w:firstRow="1" w:lastRow="0" w:firstColumn="1" w:lastColumn="0" w:noHBand="0" w:noVBand="1"/>
      </w:tblPr>
      <w:tblGrid>
        <w:gridCol w:w="1320"/>
        <w:gridCol w:w="1320"/>
        <w:gridCol w:w="1320"/>
        <w:gridCol w:w="1320"/>
        <w:gridCol w:w="1320"/>
        <w:gridCol w:w="1320"/>
      </w:tblGrid>
      <w:tr w:rsidR="000651C4" w:rsidRPr="000651C4" w:rsidTr="000651C4">
        <w:trPr>
          <w:trHeight w:val="555"/>
          <w:jc w:val="center"/>
        </w:trPr>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Juzgado</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ago-03</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ago-04</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ago-05</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ago-06</w:t>
            </w:r>
          </w:p>
        </w:tc>
        <w:tc>
          <w:tcPr>
            <w:tcW w:w="1320" w:type="dxa"/>
            <w:shd w:val="clear" w:color="auto" w:fill="D9D9D9" w:themeFill="background1" w:themeFillShade="D9"/>
            <w:noWrap/>
            <w:vAlign w:val="center"/>
            <w:hideMark/>
          </w:tcPr>
          <w:p w:rsidR="008565E1" w:rsidRPr="000651C4" w:rsidRDefault="008565E1" w:rsidP="000A3032">
            <w:pPr>
              <w:spacing w:after="0" w:line="240" w:lineRule="auto"/>
              <w:jc w:val="center"/>
              <w:rPr>
                <w:rFonts w:ascii="Arial" w:eastAsia="Times New Roman" w:hAnsi="Arial" w:cs="Arial"/>
                <w:b/>
                <w:bCs/>
                <w:lang w:eastAsia="es-ES"/>
              </w:rPr>
            </w:pPr>
            <w:r w:rsidRPr="000651C4">
              <w:rPr>
                <w:rFonts w:ascii="Arial" w:eastAsia="Times New Roman" w:hAnsi="Arial" w:cs="Arial"/>
                <w:b/>
                <w:bCs/>
                <w:lang w:eastAsia="es-ES"/>
              </w:rPr>
              <w:t>TOTAL</w:t>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01</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10</w:t>
            </w:r>
          </w:p>
        </w:tc>
        <w:tc>
          <w:tcPr>
            <w:tcW w:w="1320" w:type="dxa"/>
            <w:shd w:val="clear" w:color="auto" w:fill="FFFFFF" w:themeFill="background1"/>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38</w:t>
            </w:r>
            <w:r>
              <w:rPr>
                <w:rFonts w:ascii="Arial" w:eastAsia="Times New Roman" w:hAnsi="Arial" w:cs="Arial"/>
                <w:color w:val="000000"/>
                <w:lang w:eastAsia="es-ES"/>
              </w:rPr>
              <w:fldChar w:fldCharType="end"/>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17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9</w:t>
            </w:r>
          </w:p>
        </w:tc>
        <w:tc>
          <w:tcPr>
            <w:tcW w:w="1320" w:type="dxa"/>
            <w:shd w:val="clear" w:color="auto" w:fill="FFFFFF" w:themeFill="background1"/>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35</w:t>
            </w:r>
            <w:r>
              <w:rPr>
                <w:rFonts w:ascii="Arial" w:eastAsia="Times New Roman" w:hAnsi="Arial" w:cs="Arial"/>
                <w:color w:val="000000"/>
                <w:lang w:eastAsia="es-ES"/>
              </w:rPr>
              <w:fldChar w:fldCharType="end"/>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20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13</w:t>
            </w:r>
          </w:p>
        </w:tc>
        <w:tc>
          <w:tcPr>
            <w:tcW w:w="1320" w:type="dxa"/>
            <w:shd w:val="clear" w:color="auto" w:fill="FFFFFF" w:themeFill="background1"/>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37</w:t>
            </w:r>
            <w:r>
              <w:rPr>
                <w:rFonts w:ascii="Arial" w:eastAsia="Times New Roman" w:hAnsi="Arial" w:cs="Arial"/>
                <w:color w:val="000000"/>
                <w:lang w:eastAsia="es-ES"/>
              </w:rPr>
              <w:fldChar w:fldCharType="end"/>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31</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14</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13</w:t>
            </w:r>
          </w:p>
        </w:tc>
        <w:tc>
          <w:tcPr>
            <w:tcW w:w="1320" w:type="dxa"/>
            <w:shd w:val="clear" w:color="auto" w:fill="FFFFFF" w:themeFill="background1"/>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47</w:t>
            </w:r>
            <w:r>
              <w:rPr>
                <w:rFonts w:ascii="Arial" w:eastAsia="Times New Roman" w:hAnsi="Arial" w:cs="Arial"/>
                <w:color w:val="000000"/>
                <w:lang w:eastAsia="es-ES"/>
              </w:rPr>
              <w:fldChar w:fldCharType="end"/>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Juzgado32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11</w:t>
            </w:r>
          </w:p>
        </w:tc>
        <w:tc>
          <w:tcPr>
            <w:tcW w:w="1320" w:type="dxa"/>
            <w:shd w:val="clear" w:color="auto" w:fill="FFFFFF" w:themeFill="background1"/>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41</w:t>
            </w:r>
            <w:r>
              <w:rPr>
                <w:rFonts w:ascii="Arial" w:eastAsia="Times New Roman" w:hAnsi="Arial" w:cs="Arial"/>
                <w:color w:val="000000"/>
                <w:lang w:eastAsia="es-ES"/>
              </w:rPr>
              <w:fldChar w:fldCharType="end"/>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Juzgado34</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6</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11</w:t>
            </w:r>
          </w:p>
        </w:tc>
        <w:tc>
          <w:tcPr>
            <w:tcW w:w="1320" w:type="dxa"/>
            <w:shd w:val="clear" w:color="auto" w:fill="FFFFFF" w:themeFill="background1"/>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40</w:t>
            </w:r>
            <w:r>
              <w:rPr>
                <w:rFonts w:ascii="Arial" w:eastAsia="Times New Roman" w:hAnsi="Arial" w:cs="Arial"/>
                <w:color w:val="000000"/>
                <w:lang w:eastAsia="es-ES"/>
              </w:rPr>
              <w:fldChar w:fldCharType="end"/>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37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5</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11</w:t>
            </w:r>
          </w:p>
        </w:tc>
        <w:tc>
          <w:tcPr>
            <w:tcW w:w="1320" w:type="dxa"/>
            <w:shd w:val="clear" w:color="auto" w:fill="FFFFFF" w:themeFill="background1"/>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34</w:t>
            </w:r>
            <w:r>
              <w:rPr>
                <w:rFonts w:ascii="Arial" w:eastAsia="Times New Roman" w:hAnsi="Arial" w:cs="Arial"/>
                <w:color w:val="000000"/>
                <w:lang w:eastAsia="es-ES"/>
              </w:rPr>
              <w:fldChar w:fldCharType="end"/>
            </w:r>
          </w:p>
        </w:tc>
      </w:tr>
      <w:tr w:rsidR="008565E1" w:rsidRPr="000F76C9" w:rsidTr="000A3032">
        <w:trPr>
          <w:trHeight w:val="285"/>
          <w:jc w:val="center"/>
        </w:trPr>
        <w:tc>
          <w:tcPr>
            <w:tcW w:w="1320" w:type="dxa"/>
            <w:shd w:val="clear" w:color="auto" w:fill="auto"/>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38</w:t>
            </w:r>
          </w:p>
        </w:tc>
        <w:tc>
          <w:tcPr>
            <w:tcW w:w="1320" w:type="dxa"/>
            <w:shd w:val="clear" w:color="auto" w:fill="auto"/>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8</w:t>
            </w:r>
          </w:p>
        </w:tc>
        <w:tc>
          <w:tcPr>
            <w:tcW w:w="1320" w:type="dxa"/>
            <w:shd w:val="clear" w:color="auto" w:fill="auto"/>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12</w:t>
            </w:r>
          </w:p>
        </w:tc>
        <w:tc>
          <w:tcPr>
            <w:tcW w:w="1320" w:type="dxa"/>
            <w:shd w:val="clear" w:color="auto" w:fill="auto"/>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10</w:t>
            </w:r>
          </w:p>
        </w:tc>
        <w:tc>
          <w:tcPr>
            <w:tcW w:w="1320" w:type="dxa"/>
            <w:shd w:val="clear" w:color="auto" w:fill="auto"/>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13</w:t>
            </w:r>
          </w:p>
        </w:tc>
        <w:tc>
          <w:tcPr>
            <w:tcW w:w="1320" w:type="dxa"/>
            <w:shd w:val="clear" w:color="auto" w:fill="auto"/>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43</w:t>
            </w:r>
            <w:r>
              <w:rPr>
                <w:rFonts w:ascii="Arial" w:eastAsia="Times New Roman" w:hAnsi="Arial" w:cs="Arial"/>
                <w:color w:val="000000"/>
                <w:lang w:eastAsia="es-ES"/>
              </w:rPr>
              <w:fldChar w:fldCharType="end"/>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43</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12</w:t>
            </w:r>
          </w:p>
        </w:tc>
        <w:tc>
          <w:tcPr>
            <w:tcW w:w="1320" w:type="dxa"/>
            <w:shd w:val="clear" w:color="auto" w:fill="FFFFFF" w:themeFill="background1"/>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39</w:t>
            </w:r>
            <w:r>
              <w:rPr>
                <w:rFonts w:ascii="Arial" w:eastAsia="Times New Roman" w:hAnsi="Arial" w:cs="Arial"/>
                <w:color w:val="000000"/>
                <w:lang w:eastAsia="es-ES"/>
              </w:rPr>
              <w:fldChar w:fldCharType="end"/>
            </w:r>
          </w:p>
        </w:tc>
      </w:tr>
      <w:tr w:rsidR="008565E1" w:rsidRPr="000F76C9" w:rsidTr="000651C4">
        <w:trPr>
          <w:trHeight w:val="285"/>
          <w:jc w:val="center"/>
        </w:trPr>
        <w:tc>
          <w:tcPr>
            <w:tcW w:w="1320" w:type="dxa"/>
            <w:shd w:val="clear" w:color="auto" w:fill="FFFFFF" w:themeFill="background1"/>
            <w:noWrap/>
            <w:vAlign w:val="bottom"/>
            <w:hideMark/>
          </w:tcPr>
          <w:p w:rsidR="008565E1" w:rsidRPr="000F76C9" w:rsidRDefault="008565E1" w:rsidP="000A3032">
            <w:pPr>
              <w:spacing w:after="0" w:line="240" w:lineRule="auto"/>
              <w:rPr>
                <w:rFonts w:ascii="Arial" w:eastAsia="Times New Roman" w:hAnsi="Arial" w:cs="Arial"/>
                <w:color w:val="000000"/>
                <w:lang w:eastAsia="es-ES"/>
              </w:rPr>
            </w:pPr>
            <w:r w:rsidRPr="000F76C9">
              <w:rPr>
                <w:rFonts w:ascii="Arial" w:eastAsia="Times New Roman" w:hAnsi="Arial" w:cs="Arial"/>
                <w:color w:val="000000"/>
                <w:lang w:eastAsia="es-ES"/>
              </w:rPr>
              <w:t>Juzgado 44</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16</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0F76C9" w:rsidRDefault="008565E1" w:rsidP="000A3032">
            <w:pPr>
              <w:spacing w:after="0" w:line="240" w:lineRule="auto"/>
              <w:jc w:val="right"/>
              <w:rPr>
                <w:rFonts w:ascii="Arial" w:eastAsia="Times New Roman" w:hAnsi="Arial" w:cs="Arial"/>
                <w:color w:val="000000"/>
                <w:lang w:eastAsia="es-ES"/>
              </w:rPr>
            </w:pPr>
            <w:r w:rsidRPr="000F76C9">
              <w:rPr>
                <w:rFonts w:ascii="Arial" w:eastAsia="Times New Roman" w:hAnsi="Arial" w:cs="Arial"/>
                <w:color w:val="000000"/>
                <w:lang w:eastAsia="es-ES"/>
              </w:rPr>
              <w:t>20</w:t>
            </w:r>
          </w:p>
        </w:tc>
        <w:tc>
          <w:tcPr>
            <w:tcW w:w="1320" w:type="dxa"/>
            <w:shd w:val="clear" w:color="auto" w:fill="FFFFFF" w:themeFill="background1"/>
            <w:noWrap/>
            <w:vAlign w:val="bottom"/>
          </w:tcPr>
          <w:p w:rsidR="008565E1" w:rsidRPr="000F76C9" w:rsidRDefault="00E60E15" w:rsidP="000A3032">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8565E1">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8565E1">
              <w:rPr>
                <w:rFonts w:ascii="Arial" w:eastAsia="Times New Roman" w:hAnsi="Arial" w:cs="Arial"/>
                <w:noProof/>
                <w:color w:val="000000"/>
                <w:lang w:eastAsia="es-ES"/>
              </w:rPr>
              <w:t>59</w:t>
            </w:r>
            <w:r>
              <w:rPr>
                <w:rFonts w:ascii="Arial" w:eastAsia="Times New Roman" w:hAnsi="Arial" w:cs="Arial"/>
                <w:color w:val="000000"/>
                <w:lang w:eastAsia="es-ES"/>
              </w:rPr>
              <w:fldChar w:fldCharType="end"/>
            </w:r>
          </w:p>
        </w:tc>
      </w:tr>
      <w:tr w:rsidR="000651C4" w:rsidRPr="000651C4" w:rsidTr="00560F5D">
        <w:trPr>
          <w:trHeight w:val="285"/>
          <w:jc w:val="center"/>
        </w:trPr>
        <w:tc>
          <w:tcPr>
            <w:tcW w:w="1320" w:type="dxa"/>
            <w:shd w:val="clear" w:color="auto" w:fill="D9D9D9" w:themeFill="background1" w:themeFillShade="D9"/>
            <w:noWrap/>
            <w:vAlign w:val="bottom"/>
            <w:hideMark/>
          </w:tcPr>
          <w:p w:rsidR="008565E1" w:rsidRPr="000651C4" w:rsidRDefault="008565E1" w:rsidP="000A3032">
            <w:pPr>
              <w:spacing w:after="0" w:line="240" w:lineRule="auto"/>
              <w:rPr>
                <w:rFonts w:ascii="Arial" w:eastAsia="Times New Roman" w:hAnsi="Arial" w:cs="Arial"/>
                <w:b/>
                <w:lang w:eastAsia="es-ES"/>
              </w:rPr>
            </w:pPr>
            <w:r w:rsidRPr="000651C4">
              <w:rPr>
                <w:rFonts w:ascii="Arial" w:eastAsia="Times New Roman" w:hAnsi="Arial" w:cs="Arial"/>
                <w:b/>
                <w:lang w:eastAsia="es-ES"/>
              </w:rPr>
              <w:t>TOTAL</w:t>
            </w:r>
          </w:p>
        </w:tc>
        <w:tc>
          <w:tcPr>
            <w:tcW w:w="1320" w:type="dxa"/>
            <w:shd w:val="clear" w:color="auto" w:fill="D9D9D9" w:themeFill="background1" w:themeFillShade="D9"/>
            <w:noWrap/>
            <w:vAlign w:val="bottom"/>
            <w:hideMark/>
          </w:tcPr>
          <w:p w:rsidR="008565E1" w:rsidRPr="000651C4" w:rsidRDefault="008565E1" w:rsidP="000A3032">
            <w:pPr>
              <w:spacing w:after="0" w:line="240" w:lineRule="auto"/>
              <w:jc w:val="right"/>
              <w:rPr>
                <w:rFonts w:ascii="Arial" w:eastAsia="Times New Roman" w:hAnsi="Arial" w:cs="Arial"/>
                <w:b/>
                <w:lang w:eastAsia="es-ES"/>
              </w:rPr>
            </w:pPr>
            <w:r w:rsidRPr="000651C4">
              <w:rPr>
                <w:rFonts w:ascii="Arial" w:eastAsia="Times New Roman" w:hAnsi="Arial" w:cs="Arial"/>
                <w:b/>
                <w:lang w:eastAsia="es-ES"/>
              </w:rPr>
              <w:t>83</w:t>
            </w:r>
          </w:p>
        </w:tc>
        <w:tc>
          <w:tcPr>
            <w:tcW w:w="1320" w:type="dxa"/>
            <w:shd w:val="clear" w:color="auto" w:fill="D9D9D9" w:themeFill="background1" w:themeFillShade="D9"/>
            <w:noWrap/>
            <w:vAlign w:val="bottom"/>
            <w:hideMark/>
          </w:tcPr>
          <w:p w:rsidR="008565E1" w:rsidRPr="000651C4" w:rsidRDefault="008565E1" w:rsidP="000A3032">
            <w:pPr>
              <w:spacing w:after="0" w:line="240" w:lineRule="auto"/>
              <w:jc w:val="right"/>
              <w:rPr>
                <w:rFonts w:ascii="Arial" w:eastAsia="Times New Roman" w:hAnsi="Arial" w:cs="Arial"/>
                <w:b/>
                <w:lang w:eastAsia="es-ES"/>
              </w:rPr>
            </w:pPr>
            <w:r w:rsidRPr="000651C4">
              <w:rPr>
                <w:rFonts w:ascii="Arial" w:eastAsia="Times New Roman" w:hAnsi="Arial" w:cs="Arial"/>
                <w:b/>
                <w:lang w:eastAsia="es-ES"/>
              </w:rPr>
              <w:t>99</w:t>
            </w:r>
          </w:p>
        </w:tc>
        <w:tc>
          <w:tcPr>
            <w:tcW w:w="1320" w:type="dxa"/>
            <w:shd w:val="clear" w:color="auto" w:fill="D9D9D9" w:themeFill="background1" w:themeFillShade="D9"/>
            <w:noWrap/>
            <w:vAlign w:val="bottom"/>
            <w:hideMark/>
          </w:tcPr>
          <w:p w:rsidR="008565E1" w:rsidRPr="000651C4" w:rsidRDefault="008565E1" w:rsidP="000A3032">
            <w:pPr>
              <w:spacing w:after="0" w:line="240" w:lineRule="auto"/>
              <w:jc w:val="right"/>
              <w:rPr>
                <w:rFonts w:ascii="Arial" w:eastAsia="Times New Roman" w:hAnsi="Arial" w:cs="Arial"/>
                <w:b/>
                <w:lang w:eastAsia="es-ES"/>
              </w:rPr>
            </w:pPr>
            <w:r w:rsidRPr="000651C4">
              <w:rPr>
                <w:rFonts w:ascii="Arial" w:eastAsia="Times New Roman" w:hAnsi="Arial" w:cs="Arial"/>
                <w:b/>
                <w:lang w:eastAsia="es-ES"/>
              </w:rPr>
              <w:t>108</w:t>
            </w:r>
          </w:p>
        </w:tc>
        <w:tc>
          <w:tcPr>
            <w:tcW w:w="1320" w:type="dxa"/>
            <w:shd w:val="clear" w:color="auto" w:fill="D9D9D9" w:themeFill="background1" w:themeFillShade="D9"/>
            <w:noWrap/>
            <w:vAlign w:val="bottom"/>
            <w:hideMark/>
          </w:tcPr>
          <w:p w:rsidR="008565E1" w:rsidRPr="000651C4" w:rsidRDefault="008565E1" w:rsidP="000A3032">
            <w:pPr>
              <w:spacing w:after="0" w:line="240" w:lineRule="auto"/>
              <w:jc w:val="right"/>
              <w:rPr>
                <w:rFonts w:ascii="Arial" w:eastAsia="Times New Roman" w:hAnsi="Arial" w:cs="Arial"/>
                <w:b/>
                <w:lang w:eastAsia="es-ES"/>
              </w:rPr>
            </w:pPr>
            <w:r w:rsidRPr="000651C4">
              <w:rPr>
                <w:rFonts w:ascii="Arial" w:eastAsia="Times New Roman" w:hAnsi="Arial" w:cs="Arial"/>
                <w:b/>
                <w:lang w:eastAsia="es-ES"/>
              </w:rPr>
              <w:t>123</w:t>
            </w:r>
          </w:p>
        </w:tc>
        <w:tc>
          <w:tcPr>
            <w:tcW w:w="1320" w:type="dxa"/>
            <w:shd w:val="clear" w:color="auto" w:fill="D9D9D9" w:themeFill="background1" w:themeFillShade="D9"/>
            <w:noWrap/>
            <w:vAlign w:val="bottom"/>
          </w:tcPr>
          <w:p w:rsidR="008565E1" w:rsidRPr="000651C4" w:rsidRDefault="00E60E15" w:rsidP="000A3032">
            <w:pPr>
              <w:spacing w:after="0" w:line="240" w:lineRule="auto"/>
              <w:jc w:val="right"/>
              <w:rPr>
                <w:rFonts w:ascii="Arial" w:eastAsia="Times New Roman" w:hAnsi="Arial" w:cs="Arial"/>
                <w:b/>
                <w:lang w:eastAsia="es-ES"/>
              </w:rPr>
            </w:pPr>
            <w:r w:rsidRPr="000651C4">
              <w:rPr>
                <w:rFonts w:ascii="Arial" w:eastAsia="Times New Roman" w:hAnsi="Arial" w:cs="Arial"/>
                <w:b/>
                <w:lang w:eastAsia="es-ES"/>
              </w:rPr>
              <w:fldChar w:fldCharType="begin"/>
            </w:r>
            <w:r w:rsidR="008565E1" w:rsidRPr="000651C4">
              <w:rPr>
                <w:rFonts w:ascii="Arial" w:eastAsia="Times New Roman" w:hAnsi="Arial" w:cs="Arial"/>
                <w:b/>
                <w:lang w:eastAsia="es-ES"/>
              </w:rPr>
              <w:instrText xml:space="preserve"> =SUM(LEFT) </w:instrText>
            </w:r>
            <w:r w:rsidRPr="000651C4">
              <w:rPr>
                <w:rFonts w:ascii="Arial" w:eastAsia="Times New Roman" w:hAnsi="Arial" w:cs="Arial"/>
                <w:b/>
                <w:lang w:eastAsia="es-ES"/>
              </w:rPr>
              <w:fldChar w:fldCharType="separate"/>
            </w:r>
            <w:r w:rsidR="008565E1" w:rsidRPr="000651C4">
              <w:rPr>
                <w:rFonts w:ascii="Arial" w:eastAsia="Times New Roman" w:hAnsi="Arial" w:cs="Arial"/>
                <w:b/>
                <w:noProof/>
                <w:lang w:eastAsia="es-ES"/>
              </w:rPr>
              <w:t>413</w:t>
            </w:r>
            <w:r w:rsidRPr="000651C4">
              <w:rPr>
                <w:rFonts w:ascii="Arial" w:eastAsia="Times New Roman" w:hAnsi="Arial" w:cs="Arial"/>
                <w:b/>
                <w:lang w:eastAsia="es-ES"/>
              </w:rPr>
              <w:fldChar w:fldCharType="end"/>
            </w:r>
          </w:p>
        </w:tc>
      </w:tr>
    </w:tbl>
    <w:tbl>
      <w:tblPr>
        <w:tblStyle w:val="Tablaconcuadrcula"/>
        <w:tblW w:w="0" w:type="auto"/>
        <w:tblInd w:w="-38" w:type="dxa"/>
        <w:tblCellMar>
          <w:left w:w="70" w:type="dxa"/>
          <w:right w:w="70" w:type="dxa"/>
        </w:tblCellMar>
        <w:tblLook w:val="04A0" w:firstRow="1" w:lastRow="0" w:firstColumn="1" w:lastColumn="0" w:noHBand="0" w:noVBand="1"/>
      </w:tblPr>
      <w:tblGrid>
        <w:gridCol w:w="8734"/>
      </w:tblGrid>
      <w:tr w:rsidR="009F40B3" w:rsidTr="002312D3">
        <w:tc>
          <w:tcPr>
            <w:tcW w:w="8734" w:type="dxa"/>
            <w:tcBorders>
              <w:top w:val="nil"/>
              <w:left w:val="nil"/>
              <w:right w:val="nil"/>
            </w:tcBorders>
          </w:tcPr>
          <w:p w:rsidR="009F40B3" w:rsidRDefault="00EA0917" w:rsidP="007A172E">
            <w:r>
              <w:rPr>
                <w:rFonts w:ascii="Arial" w:hAnsi="Arial" w:cs="Arial"/>
                <w:noProof/>
                <w:sz w:val="24"/>
                <w:szCs w:val="24"/>
                <w:lang w:val="es-CO" w:eastAsia="es-CO"/>
              </w:rPr>
              <w:lastRenderedPageBreak/>
              <mc:AlternateContent>
                <mc:Choice Requires="wps">
                  <w:drawing>
                    <wp:anchor distT="0" distB="0" distL="114300" distR="114300" simplePos="0" relativeHeight="251667456" behindDoc="0" locked="0" layoutInCell="1" allowOverlap="1" wp14:anchorId="32F3BED8" wp14:editId="4BED32C5">
                      <wp:simplePos x="0" y="0"/>
                      <wp:positionH relativeFrom="column">
                        <wp:posOffset>5097780</wp:posOffset>
                      </wp:positionH>
                      <wp:positionV relativeFrom="paragraph">
                        <wp:posOffset>2240280</wp:posOffset>
                      </wp:positionV>
                      <wp:extent cx="814705" cy="542925"/>
                      <wp:effectExtent l="0" t="0" r="0" b="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4705" cy="542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74E8" w:rsidRPr="00E76993" w:rsidRDefault="00E974E8" w:rsidP="009F40B3">
                                  <w:pPr>
                                    <w:rPr>
                                      <w:b/>
                                      <w:color w:val="FF0000"/>
                                      <w:lang w:val="es-CO"/>
                                    </w:rPr>
                                  </w:pPr>
                                  <w:r w:rsidRPr="00E76993">
                                    <w:rPr>
                                      <w:b/>
                                      <w:color w:val="FF0000"/>
                                      <w:lang w:val="es-CO"/>
                                    </w:rPr>
                                    <w:t>342</w:t>
                                  </w:r>
                                </w:p>
                                <w:p w:rsidR="00E974E8" w:rsidRDefault="00E974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3" o:spid="_x0000_s1026" type="#_x0000_t202" style="position:absolute;margin-left:401.4pt;margin-top:176.4pt;width:64.15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" filled="f" stroked="f" strokeweight=".5pt">
                      <v:path arrowok="t"/>
                      <v:textbox>
                        <w:txbxContent>
                          <w:p w:rsidR="00E974E8" w:rsidRPr="00E76993" w:rsidRDefault="00E974E8" w:rsidP="009F40B3">
                            <w:pPr>
                              <w:rPr>
                                <w:b/>
                                <w:color w:val="FF0000"/>
                                <w:lang w:val="es-CO"/>
                              </w:rPr>
                            </w:pPr>
                            <w:r w:rsidRPr="00E76993">
                              <w:rPr>
                                <w:b/>
                                <w:color w:val="FF0000"/>
                                <w:lang w:val="es-CO"/>
                              </w:rPr>
                              <w:t>342</w:t>
                            </w:r>
                          </w:p>
                          <w:p w:rsidR="00E974E8" w:rsidRDefault="00E974E8"/>
                        </w:txbxContent>
                      </v:textbox>
                    </v:shape>
                  </w:pict>
                </mc:Fallback>
              </mc:AlternateContent>
            </w:r>
            <w:r w:rsidR="00B7013E">
              <w:rPr>
                <w:noProof/>
                <w:lang w:val="es-CO" w:eastAsia="es-CO"/>
              </w:rPr>
              <w:drawing>
                <wp:inline distT="0" distB="0" distL="0" distR="0" wp14:anchorId="3846A14E" wp14:editId="08A6ECA7">
                  <wp:extent cx="5431790" cy="3547745"/>
                  <wp:effectExtent l="0" t="0" r="16510" b="14605"/>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r w:rsidR="009F40B3" w:rsidTr="002312D3">
        <w:tblPrEx>
          <w:tblCellMar>
            <w:left w:w="108" w:type="dxa"/>
            <w:right w:w="108" w:type="dxa"/>
          </w:tblCellMar>
        </w:tblPrEx>
        <w:tc>
          <w:tcPr>
            <w:tcW w:w="8734" w:type="dxa"/>
          </w:tcPr>
          <w:p w:rsidR="009F40B3" w:rsidRDefault="009F40B3" w:rsidP="00023748">
            <w:pPr>
              <w:jc w:val="both"/>
            </w:pPr>
            <w:r w:rsidRPr="00631A6F">
              <w:rPr>
                <w:rFonts w:ascii="Book Antiqua" w:hAnsi="Book Antiqua"/>
                <w:sz w:val="18"/>
                <w:szCs w:val="18"/>
              </w:rPr>
              <w:t>Análisis:</w:t>
            </w:r>
            <w:r w:rsidR="000651C4">
              <w:rPr>
                <w:rFonts w:ascii="Book Antiqua" w:hAnsi="Book Antiqua"/>
                <w:sz w:val="18"/>
                <w:szCs w:val="18"/>
              </w:rPr>
              <w:t xml:space="preserve"> </w:t>
            </w:r>
            <w:r w:rsidRPr="00631A6F">
              <w:rPr>
                <w:rFonts w:ascii="Book Antiqua" w:hAnsi="Book Antiqua"/>
                <w:sz w:val="18"/>
                <w:szCs w:val="18"/>
              </w:rPr>
              <w:t xml:space="preserve">En los Juzgados </w:t>
            </w:r>
            <w:r w:rsidR="00631A6F">
              <w:rPr>
                <w:rFonts w:ascii="Book Antiqua" w:hAnsi="Book Antiqua"/>
                <w:sz w:val="18"/>
                <w:szCs w:val="18"/>
              </w:rPr>
              <w:t xml:space="preserve">Civiles </w:t>
            </w:r>
            <w:r w:rsidRPr="00631A6F">
              <w:rPr>
                <w:rFonts w:ascii="Book Antiqua" w:hAnsi="Book Antiqua"/>
                <w:sz w:val="18"/>
                <w:szCs w:val="18"/>
              </w:rPr>
              <w:t>de</w:t>
            </w:r>
            <w:r w:rsidR="00F53C67">
              <w:rPr>
                <w:rFonts w:ascii="Book Antiqua" w:hAnsi="Book Antiqua"/>
                <w:sz w:val="18"/>
                <w:szCs w:val="18"/>
              </w:rPr>
              <w:t xml:space="preserve">l Circuito de </w:t>
            </w:r>
            <w:r w:rsidRPr="00631A6F">
              <w:rPr>
                <w:rFonts w:ascii="Book Antiqua" w:hAnsi="Book Antiqua"/>
                <w:sz w:val="18"/>
                <w:szCs w:val="18"/>
              </w:rPr>
              <w:t>Oral</w:t>
            </w:r>
            <w:r w:rsidR="00631A6F">
              <w:rPr>
                <w:rFonts w:ascii="Book Antiqua" w:hAnsi="Book Antiqua"/>
                <w:sz w:val="18"/>
                <w:szCs w:val="18"/>
              </w:rPr>
              <w:t xml:space="preserve">idad en Bogotá, durante los </w:t>
            </w:r>
            <w:r w:rsidR="00023748">
              <w:rPr>
                <w:rFonts w:ascii="Book Antiqua" w:hAnsi="Book Antiqua"/>
                <w:sz w:val="18"/>
                <w:szCs w:val="18"/>
              </w:rPr>
              <w:t>5</w:t>
            </w:r>
            <w:r w:rsidR="00631A6F">
              <w:rPr>
                <w:rFonts w:ascii="Book Antiqua" w:hAnsi="Book Antiqua"/>
                <w:sz w:val="18"/>
                <w:szCs w:val="18"/>
              </w:rPr>
              <w:t xml:space="preserve"> meses reportados, ya excedieron  en su reparto la carga razonable establecida en 342 procesos  </w:t>
            </w:r>
            <w:r w:rsidR="00E8380B">
              <w:rPr>
                <w:rFonts w:ascii="Book Antiqua" w:hAnsi="Book Antiqua"/>
                <w:sz w:val="18"/>
                <w:szCs w:val="18"/>
              </w:rPr>
              <w:t xml:space="preserve">entre 4 y 5 </w:t>
            </w:r>
            <w:r w:rsidR="00631A6F">
              <w:rPr>
                <w:rFonts w:ascii="Book Antiqua" w:hAnsi="Book Antiqua"/>
                <w:sz w:val="18"/>
                <w:szCs w:val="18"/>
              </w:rPr>
              <w:t>veces más.</w:t>
            </w:r>
          </w:p>
        </w:tc>
      </w:tr>
    </w:tbl>
    <w:p w:rsidR="002312D3" w:rsidRDefault="002312D3" w:rsidP="000B6E3B">
      <w:pPr>
        <w:pStyle w:val="Ttulo1"/>
        <w:jc w:val="center"/>
        <w:rPr>
          <w:b/>
          <w:color w:val="auto"/>
          <w:sz w:val="24"/>
          <w:szCs w:val="24"/>
          <w:lang w:val="es-CO"/>
        </w:rPr>
      </w:pPr>
    </w:p>
    <w:p w:rsidR="000B6E3B" w:rsidRPr="00002015" w:rsidRDefault="000B6E3B" w:rsidP="000B6E3B">
      <w:pPr>
        <w:pStyle w:val="Ttulo1"/>
        <w:jc w:val="center"/>
        <w:rPr>
          <w:b/>
          <w:color w:val="auto"/>
          <w:sz w:val="24"/>
          <w:szCs w:val="24"/>
          <w:lang w:val="es-CO"/>
        </w:rPr>
      </w:pPr>
      <w:r w:rsidRPr="00002015">
        <w:rPr>
          <w:b/>
          <w:color w:val="auto"/>
          <w:sz w:val="24"/>
          <w:szCs w:val="24"/>
          <w:lang w:val="es-CO"/>
        </w:rPr>
        <w:t>ESTAD</w:t>
      </w:r>
      <w:r w:rsidR="000E1855" w:rsidRPr="00002015">
        <w:rPr>
          <w:b/>
          <w:color w:val="auto"/>
          <w:sz w:val="24"/>
          <w:szCs w:val="24"/>
          <w:lang w:val="es-CO"/>
        </w:rPr>
        <w:t>Í</w:t>
      </w:r>
      <w:r w:rsidRPr="00002015">
        <w:rPr>
          <w:b/>
          <w:color w:val="auto"/>
          <w:sz w:val="24"/>
          <w:szCs w:val="24"/>
          <w:lang w:val="es-CO"/>
        </w:rPr>
        <w:t>STICA REPARTO JUZGADO CIVILES MUNICIPALES ORALIDAD</w:t>
      </w:r>
    </w:p>
    <w:p w:rsidR="000B6E3B" w:rsidRPr="00002015" w:rsidRDefault="000B6E3B" w:rsidP="000B6E3B">
      <w:pPr>
        <w:pStyle w:val="Ttulo2"/>
        <w:rPr>
          <w:b/>
          <w:color w:val="auto"/>
          <w:lang w:val="es-CO"/>
        </w:rPr>
      </w:pPr>
      <w:r w:rsidRPr="00002015">
        <w:rPr>
          <w:color w:val="auto"/>
          <w:lang w:val="es-CO"/>
        </w:rPr>
        <w:t xml:space="preserve">                   </w:t>
      </w:r>
      <w:r w:rsidRPr="00002015">
        <w:rPr>
          <w:b/>
          <w:color w:val="auto"/>
          <w:lang w:val="es-CO"/>
        </w:rPr>
        <w:t xml:space="preserve">                      Reparto Mensual: Mayo y</w:t>
      </w:r>
      <w:r w:rsidR="00002015" w:rsidRPr="00002015">
        <w:rPr>
          <w:b/>
          <w:color w:val="auto"/>
          <w:lang w:val="es-CO"/>
        </w:rPr>
        <w:t xml:space="preserve"> </w:t>
      </w:r>
      <w:r w:rsidRPr="00002015">
        <w:rPr>
          <w:b/>
          <w:color w:val="auto"/>
          <w:lang w:val="es-CO"/>
        </w:rPr>
        <w:t>Agosto</w:t>
      </w:r>
    </w:p>
    <w:tbl>
      <w:tblPr>
        <w:tblW w:w="7889"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8EA9DB"/>
        </w:tblBorders>
        <w:tblCellMar>
          <w:left w:w="70" w:type="dxa"/>
          <w:right w:w="70" w:type="dxa"/>
        </w:tblCellMar>
        <w:tblLook w:val="04A0" w:firstRow="1" w:lastRow="0" w:firstColumn="1" w:lastColumn="0" w:noHBand="0" w:noVBand="1"/>
      </w:tblPr>
      <w:tblGrid>
        <w:gridCol w:w="1320"/>
        <w:gridCol w:w="1320"/>
        <w:gridCol w:w="1320"/>
        <w:gridCol w:w="1320"/>
        <w:gridCol w:w="1320"/>
        <w:gridCol w:w="1289"/>
      </w:tblGrid>
      <w:tr w:rsidR="008565E1" w:rsidRPr="00002015" w:rsidTr="000651C4">
        <w:trPr>
          <w:trHeight w:val="600"/>
          <w:jc w:val="center"/>
        </w:trPr>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No</w:t>
            </w:r>
            <w:r w:rsidR="00002015">
              <w:rPr>
                <w:rFonts w:ascii="Arial" w:eastAsia="Times New Roman" w:hAnsi="Arial" w:cs="Arial"/>
                <w:b/>
                <w:bCs/>
                <w:lang w:eastAsia="es-ES"/>
              </w:rPr>
              <w:t>.</w:t>
            </w:r>
          </w:p>
        </w:tc>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Juzgado</w:t>
            </w:r>
          </w:p>
        </w:tc>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Mayo</w:t>
            </w:r>
          </w:p>
        </w:tc>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Junio</w:t>
            </w:r>
          </w:p>
        </w:tc>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Julio</w:t>
            </w:r>
          </w:p>
        </w:tc>
        <w:tc>
          <w:tcPr>
            <w:tcW w:w="1289" w:type="dxa"/>
            <w:shd w:val="clear" w:color="auto" w:fill="D9D9D9" w:themeFill="background1" w:themeFillShade="D9"/>
            <w:vAlign w:val="center"/>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Total</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562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211</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1464</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582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204</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1501</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455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317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281</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1683</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577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129</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206</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1499</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283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226</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1600</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6</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11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598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137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200</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1556</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12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470</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276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232</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1591</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13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511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249</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1509</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14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288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232</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1615</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15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481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325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230</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1712</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16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577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200</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1495</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17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276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239</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1589</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18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278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257</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1596</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14</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20</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277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248</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1602</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15</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21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302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229</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1639</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16</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22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589</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129</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232</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1530</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24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575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200</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1489</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18</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30</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502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252</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1490</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19</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31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522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247</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1529</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32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274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226</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1575</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lastRenderedPageBreak/>
              <w:t>21</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33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105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336</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1323</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22</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35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472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310</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270</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1684</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23</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36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318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297</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1702</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37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466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289</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240</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1615</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25</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38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563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199</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1464</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26</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39</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574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205</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1482</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27</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40</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513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129</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232</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1381</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28</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43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474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294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232</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1639</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29</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45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556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205</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1455</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30</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47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526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91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183</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1295</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31</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49</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587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271</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1378</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32</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50</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558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203</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1448</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33</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56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517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259</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1523</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34</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58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516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244</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1508</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35</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59</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583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129</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204</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1513</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36</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60</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514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242</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1509</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37</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63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533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244</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1551</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38</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64</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557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205</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1449</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39</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65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558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243</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1592</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40</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66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476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285</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243</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1635</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41</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68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548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264</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1585</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42</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71</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558</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177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245</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1600</w:t>
            </w:r>
          </w:p>
        </w:tc>
      </w:tr>
      <w:tr w:rsidR="008565E1" w:rsidRPr="0075114C" w:rsidTr="00A928C7">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43</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72</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626</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202</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1585</w:t>
            </w:r>
          </w:p>
        </w:tc>
      </w:tr>
      <w:tr w:rsidR="008565E1" w:rsidRPr="0075114C" w:rsidTr="000651C4">
        <w:trPr>
          <w:trHeight w:val="315"/>
          <w:jc w:val="center"/>
        </w:trPr>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44</w:t>
            </w:r>
          </w:p>
        </w:tc>
        <w:tc>
          <w:tcPr>
            <w:tcW w:w="1320" w:type="dxa"/>
            <w:shd w:val="clear" w:color="auto" w:fill="FFFFFF" w:themeFill="background1"/>
            <w:noWrap/>
            <w:vAlign w:val="bottom"/>
            <w:hideMark/>
          </w:tcPr>
          <w:p w:rsidR="008565E1" w:rsidRPr="0075114C" w:rsidRDefault="008565E1" w:rsidP="000651C4">
            <w:pPr>
              <w:spacing w:after="0" w:line="240" w:lineRule="auto"/>
              <w:rPr>
                <w:rFonts w:ascii="Arial" w:eastAsia="Times New Roman" w:hAnsi="Arial" w:cs="Arial"/>
                <w:color w:val="000000"/>
                <w:lang w:eastAsia="es-ES"/>
              </w:rPr>
            </w:pPr>
            <w:r w:rsidRPr="0075114C">
              <w:rPr>
                <w:rFonts w:ascii="Arial" w:eastAsia="Times New Roman" w:hAnsi="Arial" w:cs="Arial"/>
                <w:color w:val="000000"/>
                <w:lang w:eastAsia="es-ES"/>
              </w:rPr>
              <w:t>Juzgado 73</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567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127</w:t>
            </w:r>
          </w:p>
        </w:tc>
        <w:tc>
          <w:tcPr>
            <w:tcW w:w="1320" w:type="dxa"/>
            <w:shd w:val="clear" w:color="auto" w:fill="FFFFFF" w:themeFill="background1"/>
            <w:noWrap/>
            <w:vAlign w:val="bottom"/>
            <w:hideMark/>
          </w:tcPr>
          <w:p w:rsidR="008565E1" w:rsidRPr="0075114C" w:rsidRDefault="008565E1" w:rsidP="000651C4">
            <w:pPr>
              <w:spacing w:after="0" w:line="240" w:lineRule="auto"/>
              <w:jc w:val="right"/>
              <w:rPr>
                <w:rFonts w:ascii="Arial" w:eastAsia="Times New Roman" w:hAnsi="Arial" w:cs="Arial"/>
                <w:color w:val="000000"/>
                <w:lang w:eastAsia="es-ES"/>
              </w:rPr>
            </w:pPr>
            <w:r w:rsidRPr="0075114C">
              <w:rPr>
                <w:rFonts w:ascii="Arial" w:eastAsia="Times New Roman" w:hAnsi="Arial" w:cs="Arial"/>
                <w:color w:val="000000"/>
                <w:lang w:eastAsia="es-ES"/>
              </w:rPr>
              <w:t>207</w:t>
            </w:r>
          </w:p>
        </w:tc>
        <w:tc>
          <w:tcPr>
            <w:tcW w:w="1289" w:type="dxa"/>
            <w:shd w:val="clear" w:color="auto" w:fill="FFFFFF" w:themeFill="background1"/>
            <w:vAlign w:val="center"/>
          </w:tcPr>
          <w:p w:rsidR="008565E1" w:rsidRPr="00CF33CD" w:rsidRDefault="008565E1" w:rsidP="000651C4">
            <w:pPr>
              <w:spacing w:after="0" w:line="240" w:lineRule="auto"/>
              <w:jc w:val="right"/>
              <w:rPr>
                <w:rFonts w:ascii="Arial" w:eastAsia="Times New Roman" w:hAnsi="Arial" w:cs="Arial"/>
                <w:color w:val="000000"/>
                <w:lang w:eastAsia="es-ES"/>
              </w:rPr>
            </w:pPr>
            <w:r w:rsidRPr="00CF33CD">
              <w:rPr>
                <w:rFonts w:ascii="Arial" w:eastAsia="Times New Roman" w:hAnsi="Arial" w:cs="Arial"/>
                <w:color w:val="000000"/>
                <w:lang w:eastAsia="es-ES"/>
              </w:rPr>
              <w:t>1477</w:t>
            </w:r>
          </w:p>
        </w:tc>
      </w:tr>
      <w:tr w:rsidR="008565E1" w:rsidRPr="0060136A" w:rsidTr="000651C4">
        <w:trPr>
          <w:trHeight w:val="315"/>
          <w:jc w:val="center"/>
        </w:trPr>
        <w:tc>
          <w:tcPr>
            <w:tcW w:w="1320" w:type="dxa"/>
            <w:shd w:val="clear" w:color="auto" w:fill="D9D9D9" w:themeFill="background1" w:themeFillShade="D9"/>
            <w:noWrap/>
            <w:vAlign w:val="bottom"/>
            <w:hideMark/>
          </w:tcPr>
          <w:p w:rsidR="008565E1" w:rsidRPr="0060136A" w:rsidRDefault="008565E1" w:rsidP="000651C4">
            <w:pPr>
              <w:spacing w:after="0" w:line="240" w:lineRule="auto"/>
              <w:rPr>
                <w:rFonts w:ascii="Arial" w:eastAsia="Times New Roman" w:hAnsi="Arial" w:cs="Arial"/>
                <w:b/>
                <w:color w:val="000000"/>
                <w:lang w:eastAsia="es-ES"/>
              </w:rPr>
            </w:pPr>
            <w:r w:rsidRPr="0060136A">
              <w:rPr>
                <w:rFonts w:ascii="Arial" w:eastAsia="Times New Roman" w:hAnsi="Arial" w:cs="Arial"/>
                <w:b/>
                <w:color w:val="000000"/>
                <w:lang w:eastAsia="es-ES"/>
              </w:rPr>
              <w:t>TOTAL</w:t>
            </w:r>
          </w:p>
        </w:tc>
        <w:tc>
          <w:tcPr>
            <w:tcW w:w="1320" w:type="dxa"/>
            <w:shd w:val="clear" w:color="auto" w:fill="D9D9D9" w:themeFill="background1" w:themeFillShade="D9"/>
            <w:noWrap/>
            <w:vAlign w:val="bottom"/>
            <w:hideMark/>
          </w:tcPr>
          <w:p w:rsidR="008565E1" w:rsidRPr="0060136A" w:rsidRDefault="008565E1" w:rsidP="000651C4">
            <w:pPr>
              <w:spacing w:after="0" w:line="240" w:lineRule="auto"/>
              <w:rPr>
                <w:rFonts w:ascii="Arial" w:eastAsia="Times New Roman" w:hAnsi="Arial" w:cs="Arial"/>
                <w:b/>
                <w:color w:val="000000"/>
                <w:lang w:eastAsia="es-ES"/>
              </w:rPr>
            </w:pPr>
          </w:p>
        </w:tc>
        <w:tc>
          <w:tcPr>
            <w:tcW w:w="1320" w:type="dxa"/>
            <w:shd w:val="clear" w:color="auto" w:fill="D9D9D9" w:themeFill="background1" w:themeFillShade="D9"/>
            <w:noWrap/>
            <w:vAlign w:val="bottom"/>
            <w:hideMark/>
          </w:tcPr>
          <w:p w:rsidR="008565E1" w:rsidRPr="0060136A" w:rsidRDefault="008565E1" w:rsidP="000651C4">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23039</w:t>
            </w:r>
          </w:p>
        </w:tc>
        <w:tc>
          <w:tcPr>
            <w:tcW w:w="1320" w:type="dxa"/>
            <w:shd w:val="clear" w:color="auto" w:fill="D9D9D9" w:themeFill="background1" w:themeFillShade="D9"/>
            <w:noWrap/>
            <w:vAlign w:val="bottom"/>
            <w:hideMark/>
          </w:tcPr>
          <w:p w:rsidR="008565E1" w:rsidRPr="0060136A" w:rsidRDefault="008565E1" w:rsidP="000651C4">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8407</w:t>
            </w:r>
          </w:p>
        </w:tc>
        <w:tc>
          <w:tcPr>
            <w:tcW w:w="1320" w:type="dxa"/>
            <w:shd w:val="clear" w:color="auto" w:fill="D9D9D9" w:themeFill="background1" w:themeFillShade="D9"/>
            <w:noWrap/>
            <w:vAlign w:val="bottom"/>
            <w:hideMark/>
          </w:tcPr>
          <w:p w:rsidR="008565E1" w:rsidRPr="0060136A" w:rsidRDefault="008565E1" w:rsidP="000651C4">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10276</w:t>
            </w:r>
          </w:p>
        </w:tc>
        <w:tc>
          <w:tcPr>
            <w:tcW w:w="1289" w:type="dxa"/>
            <w:shd w:val="clear" w:color="auto" w:fill="D9D9D9" w:themeFill="background1" w:themeFillShade="D9"/>
            <w:vAlign w:val="center"/>
          </w:tcPr>
          <w:p w:rsidR="008565E1" w:rsidRPr="0060136A" w:rsidRDefault="008565E1" w:rsidP="000651C4">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67657</w:t>
            </w:r>
          </w:p>
        </w:tc>
      </w:tr>
    </w:tbl>
    <w:p w:rsidR="008565E1" w:rsidRDefault="008565E1" w:rsidP="000651C4">
      <w:pPr>
        <w:rPr>
          <w:lang w:val="es-CO"/>
        </w:rPr>
      </w:pPr>
    </w:p>
    <w:p w:rsidR="000B6E3B" w:rsidRPr="00002015" w:rsidRDefault="000B6E3B" w:rsidP="000B6E3B">
      <w:pPr>
        <w:pStyle w:val="Ttulo2"/>
        <w:jc w:val="center"/>
        <w:rPr>
          <w:b/>
          <w:color w:val="auto"/>
          <w:lang w:val="es-CO"/>
        </w:rPr>
      </w:pPr>
      <w:r w:rsidRPr="00002015">
        <w:rPr>
          <w:b/>
          <w:color w:val="auto"/>
          <w:lang w:val="es-CO"/>
        </w:rPr>
        <w:t xml:space="preserve">Reparto Diario: </w:t>
      </w:r>
      <w:r w:rsidR="000E1855" w:rsidRPr="00002015">
        <w:rPr>
          <w:b/>
          <w:color w:val="auto"/>
          <w:lang w:val="es-CO"/>
        </w:rPr>
        <w:t xml:space="preserve">Agosto 3 al 6 </w:t>
      </w:r>
    </w:p>
    <w:tbl>
      <w:tblPr>
        <w:tblW w:w="924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8EA9DB"/>
        </w:tblBorders>
        <w:tblCellMar>
          <w:left w:w="70" w:type="dxa"/>
          <w:right w:w="70" w:type="dxa"/>
        </w:tblCellMar>
        <w:tblLook w:val="04A0" w:firstRow="1" w:lastRow="0" w:firstColumn="1" w:lastColumn="0" w:noHBand="0" w:noVBand="1"/>
      </w:tblPr>
      <w:tblGrid>
        <w:gridCol w:w="1320"/>
        <w:gridCol w:w="1320"/>
        <w:gridCol w:w="1320"/>
        <w:gridCol w:w="1320"/>
        <w:gridCol w:w="1320"/>
        <w:gridCol w:w="1320"/>
        <w:gridCol w:w="1320"/>
      </w:tblGrid>
      <w:tr w:rsidR="008565E1" w:rsidRPr="00002015" w:rsidTr="000651C4">
        <w:trPr>
          <w:trHeight w:val="600"/>
        </w:trPr>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No</w:t>
            </w:r>
            <w:r w:rsidR="00002015">
              <w:rPr>
                <w:rFonts w:ascii="Arial" w:eastAsia="Times New Roman" w:hAnsi="Arial" w:cs="Arial"/>
                <w:b/>
                <w:bCs/>
                <w:lang w:eastAsia="es-ES"/>
              </w:rPr>
              <w:t>.</w:t>
            </w:r>
          </w:p>
        </w:tc>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Juzgado</w:t>
            </w:r>
          </w:p>
        </w:tc>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ago-03</w:t>
            </w:r>
          </w:p>
        </w:tc>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ago-04</w:t>
            </w:r>
          </w:p>
        </w:tc>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ago-05</w:t>
            </w:r>
          </w:p>
        </w:tc>
        <w:tc>
          <w:tcPr>
            <w:tcW w:w="1320" w:type="dxa"/>
            <w:shd w:val="clear" w:color="auto" w:fill="D9D9D9" w:themeFill="background1" w:themeFillShade="D9"/>
            <w:noWrap/>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ago-06</w:t>
            </w:r>
          </w:p>
        </w:tc>
        <w:tc>
          <w:tcPr>
            <w:tcW w:w="1320" w:type="dxa"/>
            <w:shd w:val="clear" w:color="auto" w:fill="D9D9D9" w:themeFill="background1" w:themeFillShade="D9"/>
            <w:vAlign w:val="center"/>
            <w:hideMark/>
          </w:tcPr>
          <w:p w:rsidR="008565E1" w:rsidRPr="00002015" w:rsidRDefault="008565E1" w:rsidP="000A3032">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Parcial Agosto</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44</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42</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40</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4</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44</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5</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38</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6</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46</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39</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37</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14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42</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15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41</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16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44</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17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45</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18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62</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14</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20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42</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15</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21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45</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16</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22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46</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lastRenderedPageBreak/>
              <w:t>17</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24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43</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18</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30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35</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19</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31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36</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20</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32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39</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21</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33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41</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22</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35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42</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23</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36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45</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24</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37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36</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25</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38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44</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26</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39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42</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27</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40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51</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28</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43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7</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38</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29</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45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44</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30</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47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38</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31</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49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49</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32</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50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44</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33</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56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14</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46</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34</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58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34</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35</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59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50</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36</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60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7</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35</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37</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63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41</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38</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64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14</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46</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39</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65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39</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40</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66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40</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41</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68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15</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6</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39</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42</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71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37</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43</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72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8</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40</w:t>
            </w:r>
          </w:p>
        </w:tc>
      </w:tr>
      <w:tr w:rsidR="008565E1" w:rsidRPr="00C363A5" w:rsidTr="00A928C7">
        <w:trPr>
          <w:trHeight w:val="315"/>
        </w:trPr>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44</w:t>
            </w:r>
          </w:p>
        </w:tc>
        <w:tc>
          <w:tcPr>
            <w:tcW w:w="1320" w:type="dxa"/>
            <w:shd w:val="clear" w:color="auto" w:fill="FFFFFF" w:themeFill="background1"/>
            <w:noWrap/>
            <w:vAlign w:val="bottom"/>
            <w:hideMark/>
          </w:tcPr>
          <w:p w:rsidR="008565E1" w:rsidRPr="00C363A5" w:rsidRDefault="008565E1" w:rsidP="000A3032">
            <w:pPr>
              <w:spacing w:after="0" w:line="240" w:lineRule="auto"/>
              <w:rPr>
                <w:rFonts w:ascii="Arial" w:eastAsia="Times New Roman" w:hAnsi="Arial" w:cs="Arial"/>
                <w:color w:val="000000"/>
                <w:lang w:eastAsia="es-ES"/>
              </w:rPr>
            </w:pPr>
            <w:r w:rsidRPr="00C363A5">
              <w:rPr>
                <w:rFonts w:ascii="Arial" w:eastAsia="Times New Roman" w:hAnsi="Arial" w:cs="Arial"/>
                <w:color w:val="000000"/>
                <w:lang w:eastAsia="es-ES"/>
              </w:rPr>
              <w:t>Juzgado 73</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10</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12</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11</w:t>
            </w:r>
          </w:p>
        </w:tc>
        <w:tc>
          <w:tcPr>
            <w:tcW w:w="1320" w:type="dxa"/>
            <w:shd w:val="clear" w:color="auto" w:fill="FFFFFF" w:themeFill="background1"/>
            <w:noWrap/>
            <w:vAlign w:val="bottom"/>
            <w:hideMark/>
          </w:tcPr>
          <w:p w:rsidR="008565E1" w:rsidRPr="00C363A5" w:rsidRDefault="008565E1" w:rsidP="000A3032">
            <w:pPr>
              <w:spacing w:after="0" w:line="240" w:lineRule="auto"/>
              <w:jc w:val="right"/>
              <w:rPr>
                <w:rFonts w:ascii="Arial" w:eastAsia="Times New Roman" w:hAnsi="Arial" w:cs="Arial"/>
                <w:color w:val="000000"/>
                <w:lang w:eastAsia="es-ES"/>
              </w:rPr>
            </w:pPr>
            <w:r w:rsidRPr="00C363A5">
              <w:rPr>
                <w:rFonts w:ascii="Arial" w:eastAsia="Times New Roman" w:hAnsi="Arial" w:cs="Arial"/>
                <w:color w:val="000000"/>
                <w:lang w:eastAsia="es-ES"/>
              </w:rPr>
              <w:t>9</w:t>
            </w:r>
          </w:p>
        </w:tc>
        <w:tc>
          <w:tcPr>
            <w:tcW w:w="1320" w:type="dxa"/>
            <w:shd w:val="clear" w:color="auto" w:fill="FFFFFF" w:themeFill="background1"/>
            <w:noWrap/>
            <w:vAlign w:val="center"/>
            <w:hideMark/>
          </w:tcPr>
          <w:p w:rsidR="008565E1" w:rsidRPr="00C363A5" w:rsidRDefault="008565E1" w:rsidP="000A3032">
            <w:pPr>
              <w:spacing w:after="0" w:line="240" w:lineRule="auto"/>
              <w:jc w:val="center"/>
              <w:rPr>
                <w:rFonts w:ascii="Arial" w:eastAsia="Times New Roman" w:hAnsi="Arial" w:cs="Arial"/>
                <w:bCs/>
                <w:color w:val="000000"/>
                <w:sz w:val="24"/>
                <w:szCs w:val="24"/>
                <w:lang w:eastAsia="es-ES"/>
              </w:rPr>
            </w:pPr>
            <w:r w:rsidRPr="00C363A5">
              <w:rPr>
                <w:rFonts w:ascii="Arial" w:eastAsia="Times New Roman" w:hAnsi="Arial" w:cs="Arial"/>
                <w:bCs/>
                <w:color w:val="000000"/>
                <w:sz w:val="24"/>
                <w:szCs w:val="24"/>
                <w:lang w:eastAsia="es-ES"/>
              </w:rPr>
              <w:t>42</w:t>
            </w:r>
          </w:p>
        </w:tc>
      </w:tr>
      <w:tr w:rsidR="008565E1" w:rsidRPr="0060136A" w:rsidTr="00A928C7">
        <w:trPr>
          <w:trHeight w:val="315"/>
        </w:trPr>
        <w:tc>
          <w:tcPr>
            <w:tcW w:w="1320" w:type="dxa"/>
            <w:shd w:val="clear" w:color="auto" w:fill="D9D9D9" w:themeFill="background1" w:themeFillShade="D9"/>
            <w:noWrap/>
            <w:vAlign w:val="bottom"/>
            <w:hideMark/>
          </w:tcPr>
          <w:p w:rsidR="008565E1" w:rsidRPr="0060136A" w:rsidRDefault="008565E1" w:rsidP="000A3032">
            <w:pPr>
              <w:spacing w:after="0" w:line="240" w:lineRule="auto"/>
              <w:rPr>
                <w:rFonts w:ascii="Arial" w:eastAsia="Times New Roman" w:hAnsi="Arial" w:cs="Arial"/>
                <w:b/>
                <w:color w:val="000000"/>
                <w:lang w:eastAsia="es-ES"/>
              </w:rPr>
            </w:pPr>
            <w:r w:rsidRPr="0060136A">
              <w:rPr>
                <w:rFonts w:ascii="Arial" w:eastAsia="Times New Roman" w:hAnsi="Arial" w:cs="Arial"/>
                <w:b/>
                <w:color w:val="000000"/>
                <w:lang w:eastAsia="es-ES"/>
              </w:rPr>
              <w:t>TOTAL</w:t>
            </w:r>
          </w:p>
        </w:tc>
        <w:tc>
          <w:tcPr>
            <w:tcW w:w="1320" w:type="dxa"/>
            <w:shd w:val="clear" w:color="auto" w:fill="D9D9D9" w:themeFill="background1" w:themeFillShade="D9"/>
            <w:noWrap/>
            <w:vAlign w:val="bottom"/>
            <w:hideMark/>
          </w:tcPr>
          <w:p w:rsidR="008565E1" w:rsidRPr="0060136A" w:rsidRDefault="008565E1" w:rsidP="000A3032">
            <w:pPr>
              <w:spacing w:after="0" w:line="240" w:lineRule="auto"/>
              <w:rPr>
                <w:rFonts w:ascii="Arial" w:eastAsia="Times New Roman" w:hAnsi="Arial" w:cs="Arial"/>
                <w:b/>
                <w:color w:val="000000"/>
                <w:lang w:eastAsia="es-ES"/>
              </w:rPr>
            </w:pPr>
          </w:p>
        </w:tc>
        <w:tc>
          <w:tcPr>
            <w:tcW w:w="1320" w:type="dxa"/>
            <w:shd w:val="clear" w:color="auto" w:fill="D9D9D9" w:themeFill="background1" w:themeFillShade="D9"/>
            <w:noWrap/>
            <w:vAlign w:val="bottom"/>
            <w:hideMark/>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513</w:t>
            </w:r>
          </w:p>
        </w:tc>
        <w:tc>
          <w:tcPr>
            <w:tcW w:w="1320" w:type="dxa"/>
            <w:shd w:val="clear" w:color="auto" w:fill="D9D9D9" w:themeFill="background1" w:themeFillShade="D9"/>
            <w:noWrap/>
            <w:vAlign w:val="bottom"/>
            <w:hideMark/>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517</w:t>
            </w:r>
          </w:p>
        </w:tc>
        <w:tc>
          <w:tcPr>
            <w:tcW w:w="1320" w:type="dxa"/>
            <w:shd w:val="clear" w:color="auto" w:fill="D9D9D9" w:themeFill="background1" w:themeFillShade="D9"/>
            <w:noWrap/>
            <w:vAlign w:val="bottom"/>
            <w:hideMark/>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399</w:t>
            </w:r>
          </w:p>
        </w:tc>
        <w:tc>
          <w:tcPr>
            <w:tcW w:w="1320" w:type="dxa"/>
            <w:shd w:val="clear" w:color="auto" w:fill="D9D9D9" w:themeFill="background1" w:themeFillShade="D9"/>
            <w:noWrap/>
            <w:vAlign w:val="bottom"/>
            <w:hideMark/>
          </w:tcPr>
          <w:p w:rsidR="008565E1" w:rsidRPr="0060136A" w:rsidRDefault="008565E1" w:rsidP="000A3032">
            <w:pPr>
              <w:spacing w:after="0" w:line="240" w:lineRule="auto"/>
              <w:jc w:val="right"/>
              <w:rPr>
                <w:rFonts w:ascii="Arial" w:eastAsia="Times New Roman" w:hAnsi="Arial" w:cs="Arial"/>
                <w:b/>
                <w:color w:val="000000"/>
                <w:lang w:eastAsia="es-ES"/>
              </w:rPr>
            </w:pPr>
            <w:r w:rsidRPr="0060136A">
              <w:rPr>
                <w:rFonts w:ascii="Arial" w:eastAsia="Times New Roman" w:hAnsi="Arial" w:cs="Arial"/>
                <w:b/>
                <w:color w:val="000000"/>
                <w:lang w:eastAsia="es-ES"/>
              </w:rPr>
              <w:t>424</w:t>
            </w:r>
          </w:p>
        </w:tc>
        <w:tc>
          <w:tcPr>
            <w:tcW w:w="1320" w:type="dxa"/>
            <w:shd w:val="clear" w:color="auto" w:fill="D9D9D9" w:themeFill="background1" w:themeFillShade="D9"/>
            <w:noWrap/>
            <w:vAlign w:val="center"/>
            <w:hideMark/>
          </w:tcPr>
          <w:p w:rsidR="008565E1" w:rsidRPr="0060136A" w:rsidRDefault="008565E1" w:rsidP="000A3032">
            <w:pPr>
              <w:spacing w:after="0" w:line="240" w:lineRule="auto"/>
              <w:jc w:val="center"/>
              <w:rPr>
                <w:rFonts w:ascii="Arial" w:eastAsia="Times New Roman" w:hAnsi="Arial" w:cs="Arial"/>
                <w:b/>
                <w:bCs/>
                <w:color w:val="000000"/>
                <w:sz w:val="24"/>
                <w:szCs w:val="24"/>
                <w:lang w:eastAsia="es-ES"/>
              </w:rPr>
            </w:pPr>
            <w:r w:rsidRPr="0060136A">
              <w:rPr>
                <w:rFonts w:ascii="Arial" w:eastAsia="Times New Roman" w:hAnsi="Arial" w:cs="Arial"/>
                <w:b/>
                <w:bCs/>
                <w:color w:val="000000"/>
                <w:sz w:val="24"/>
                <w:szCs w:val="24"/>
                <w:lang w:eastAsia="es-ES"/>
              </w:rPr>
              <w:t>1853</w:t>
            </w:r>
          </w:p>
        </w:tc>
      </w:tr>
    </w:tbl>
    <w:p w:rsidR="00E8380B" w:rsidRDefault="00E8380B" w:rsidP="004816D0">
      <w:pPr>
        <w:pStyle w:val="Ttulo1"/>
        <w:jc w:val="center"/>
        <w:rPr>
          <w:lang w:val="es-CO"/>
        </w:rPr>
      </w:pPr>
    </w:p>
    <w:tbl>
      <w:tblPr>
        <w:tblStyle w:val="Tablaconcuadrcula"/>
        <w:tblW w:w="8826" w:type="dxa"/>
        <w:tblLook w:val="04A0" w:firstRow="1" w:lastRow="0" w:firstColumn="1" w:lastColumn="0" w:noHBand="0" w:noVBand="1"/>
      </w:tblPr>
      <w:tblGrid>
        <w:gridCol w:w="8826"/>
      </w:tblGrid>
      <w:tr w:rsidR="00B7013E" w:rsidTr="00B7013E">
        <w:tc>
          <w:tcPr>
            <w:tcW w:w="8826" w:type="dxa"/>
            <w:tcBorders>
              <w:top w:val="nil"/>
              <w:left w:val="nil"/>
              <w:right w:val="nil"/>
            </w:tcBorders>
          </w:tcPr>
          <w:p w:rsidR="00B7013E" w:rsidRDefault="00B7013E" w:rsidP="00B7013E">
            <w:r>
              <w:rPr>
                <w:rFonts w:ascii="Arial" w:hAnsi="Arial" w:cs="Arial"/>
                <w:noProof/>
                <w:sz w:val="24"/>
                <w:szCs w:val="24"/>
                <w:lang w:val="es-CO" w:eastAsia="es-CO"/>
              </w:rPr>
              <mc:AlternateContent>
                <mc:Choice Requires="wps">
                  <w:drawing>
                    <wp:anchor distT="0" distB="0" distL="114300" distR="114300" simplePos="0" relativeHeight="251673600" behindDoc="0" locked="0" layoutInCell="1" allowOverlap="1" wp14:anchorId="641315E4" wp14:editId="4B3BAF8F">
                      <wp:simplePos x="0" y="0"/>
                      <wp:positionH relativeFrom="rightMargin">
                        <wp:posOffset>-280035</wp:posOffset>
                      </wp:positionH>
                      <wp:positionV relativeFrom="paragraph">
                        <wp:posOffset>1412240</wp:posOffset>
                      </wp:positionV>
                      <wp:extent cx="776605" cy="233045"/>
                      <wp:effectExtent l="0" t="0" r="0" b="0"/>
                      <wp:wrapNone/>
                      <wp:docPr id="1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6605" cy="23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74E8" w:rsidRPr="00E76993" w:rsidRDefault="00E974E8" w:rsidP="00B7013E">
                                  <w:pPr>
                                    <w:rPr>
                                      <w:b/>
                                      <w:color w:val="FF0000"/>
                                      <w:lang w:val="es-CO"/>
                                    </w:rPr>
                                  </w:pPr>
                                  <w:r w:rsidRPr="00E76993">
                                    <w:rPr>
                                      <w:b/>
                                      <w:color w:val="FF0000"/>
                                      <w:lang w:val="es-CO"/>
                                    </w:rPr>
                                    <w:t>679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4" o:spid="_x0000_s1027" type="#_x0000_t202" style="position:absolute;margin-left:-22.05pt;margin-top:111.2pt;width:61.15pt;height:18.35pt;z-index:2516736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" filled="f" stroked="f" strokeweight=".5pt">
                      <v:path arrowok="t"/>
                      <v:textbox>
                        <w:txbxContent>
                          <w:p w:rsidR="00E974E8" w:rsidRPr="00E76993" w:rsidRDefault="00E974E8" w:rsidP="00B7013E">
                            <w:pPr>
                              <w:rPr>
                                <w:b/>
                                <w:color w:val="FF0000"/>
                                <w:lang w:val="es-CO"/>
                              </w:rPr>
                            </w:pPr>
                            <w:r w:rsidRPr="00E76993">
                              <w:rPr>
                                <w:b/>
                                <w:color w:val="FF0000"/>
                                <w:lang w:val="es-CO"/>
                              </w:rPr>
                              <w:t>679</w:t>
                            </w:r>
                          </w:p>
                        </w:txbxContent>
                      </v:textbox>
                      <w10:wrap anchorx="margin"/>
                    </v:shape>
                  </w:pict>
                </mc:Fallback>
              </mc:AlternateContent>
            </w:r>
            <w:r>
              <w:rPr>
                <w:noProof/>
                <w:lang w:val="es-CO" w:eastAsia="es-CO"/>
              </w:rPr>
              <w:drawing>
                <wp:inline distT="0" distB="0" distL="0" distR="0" wp14:anchorId="4BCAD1B9" wp14:editId="3EDC78B4">
                  <wp:extent cx="5431790" cy="3547745"/>
                  <wp:effectExtent l="0" t="0" r="16510" b="14605"/>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B7013E" w:rsidTr="00B7013E">
        <w:tc>
          <w:tcPr>
            <w:tcW w:w="8826" w:type="dxa"/>
          </w:tcPr>
          <w:p w:rsidR="00B7013E" w:rsidRDefault="00B7013E" w:rsidP="00B7013E">
            <w:pPr>
              <w:jc w:val="both"/>
            </w:pPr>
            <w:r w:rsidRPr="0060136A">
              <w:rPr>
                <w:rFonts w:ascii="Book Antiqua" w:hAnsi="Book Antiqua"/>
                <w:sz w:val="18"/>
                <w:szCs w:val="18"/>
              </w:rPr>
              <w:t>Análisis:</w:t>
            </w:r>
            <w:r w:rsidRPr="00631A6F">
              <w:rPr>
                <w:rFonts w:ascii="Book Antiqua" w:hAnsi="Book Antiqua"/>
                <w:sz w:val="18"/>
                <w:szCs w:val="18"/>
              </w:rPr>
              <w:t xml:space="preserve"> En los Juzgados </w:t>
            </w:r>
            <w:r>
              <w:rPr>
                <w:rFonts w:ascii="Book Antiqua" w:hAnsi="Book Antiqua"/>
                <w:sz w:val="18"/>
                <w:szCs w:val="18"/>
              </w:rPr>
              <w:t xml:space="preserve">Civiles Municipales de </w:t>
            </w:r>
            <w:r w:rsidRPr="00631A6F">
              <w:rPr>
                <w:rFonts w:ascii="Book Antiqua" w:hAnsi="Book Antiqua"/>
                <w:sz w:val="18"/>
                <w:szCs w:val="18"/>
              </w:rPr>
              <w:t>Oral</w:t>
            </w:r>
            <w:r>
              <w:rPr>
                <w:rFonts w:ascii="Book Antiqua" w:hAnsi="Book Antiqua"/>
                <w:sz w:val="18"/>
                <w:szCs w:val="18"/>
              </w:rPr>
              <w:t>idad en Bogotá, durante los 4 meses reportados, ya excedieron  en su reparto la carga razonable establecida en 679 procesos  3 veces más.</w:t>
            </w:r>
          </w:p>
        </w:tc>
      </w:tr>
    </w:tbl>
    <w:p w:rsidR="004816D0" w:rsidRPr="00002015" w:rsidRDefault="004816D0" w:rsidP="004816D0">
      <w:pPr>
        <w:pStyle w:val="Ttulo1"/>
        <w:jc w:val="center"/>
        <w:rPr>
          <w:b/>
          <w:color w:val="auto"/>
          <w:sz w:val="24"/>
          <w:szCs w:val="24"/>
          <w:lang w:val="es-CO"/>
        </w:rPr>
      </w:pPr>
      <w:r w:rsidRPr="00002015">
        <w:rPr>
          <w:b/>
          <w:color w:val="auto"/>
          <w:sz w:val="24"/>
          <w:szCs w:val="24"/>
          <w:lang w:val="es-CO"/>
        </w:rPr>
        <w:t>INVENTARIO PROCESOS JUZGADOS CIVILES MUNICIPALES ESCRITURALES (29)</w:t>
      </w:r>
    </w:p>
    <w:p w:rsidR="004816D0" w:rsidRPr="00AB581C" w:rsidRDefault="004816D0" w:rsidP="004816D0">
      <w:pPr>
        <w:rPr>
          <w:lang w:val="es-CO"/>
        </w:rPr>
      </w:pPr>
    </w:p>
    <w:tbl>
      <w:tblPr>
        <w:tblW w:w="7980" w:type="dxa"/>
        <w:jc w:val="center"/>
        <w:tblBorders>
          <w:top w:val="single" w:sz="8" w:space="0" w:color="auto"/>
          <w:left w:val="single" w:sz="4" w:space="0" w:color="8EA9DB"/>
          <w:bottom w:val="single" w:sz="4" w:space="0" w:color="8EA9DB"/>
          <w:right w:val="single" w:sz="4" w:space="0" w:color="8EA9DB"/>
          <w:insideH w:val="single" w:sz="4" w:space="0" w:color="8EA9DB"/>
          <w:insideV w:val="single" w:sz="4" w:space="0" w:color="auto"/>
        </w:tblBorders>
        <w:tblCellMar>
          <w:left w:w="70" w:type="dxa"/>
          <w:right w:w="70" w:type="dxa"/>
        </w:tblCellMar>
        <w:tblLook w:val="04A0" w:firstRow="1" w:lastRow="0" w:firstColumn="1" w:lastColumn="0" w:noHBand="0" w:noVBand="1"/>
      </w:tblPr>
      <w:tblGrid>
        <w:gridCol w:w="1800"/>
        <w:gridCol w:w="2200"/>
        <w:gridCol w:w="2000"/>
        <w:gridCol w:w="1980"/>
      </w:tblGrid>
      <w:tr w:rsidR="004816D0" w:rsidRPr="00002015" w:rsidTr="00A928C7">
        <w:trPr>
          <w:trHeight w:val="600"/>
          <w:jc w:val="center"/>
        </w:trPr>
        <w:tc>
          <w:tcPr>
            <w:tcW w:w="1800" w:type="dxa"/>
            <w:shd w:val="clear" w:color="auto" w:fill="D9D9D9" w:themeFill="background1" w:themeFillShade="D9"/>
            <w:vAlign w:val="center"/>
            <w:hideMark/>
          </w:tcPr>
          <w:p w:rsidR="004816D0" w:rsidRPr="00002015" w:rsidRDefault="004816D0" w:rsidP="004816D0">
            <w:pPr>
              <w:spacing w:after="0" w:line="240" w:lineRule="auto"/>
              <w:jc w:val="center"/>
              <w:rPr>
                <w:rFonts w:asciiTheme="majorHAnsi" w:eastAsia="Times New Roman" w:hAnsiTheme="majorHAnsi" w:cs="Arial"/>
                <w:b/>
                <w:bCs/>
                <w:lang w:eastAsia="es-ES"/>
              </w:rPr>
            </w:pPr>
            <w:r w:rsidRPr="00002015">
              <w:rPr>
                <w:rFonts w:asciiTheme="majorHAnsi" w:eastAsia="Times New Roman" w:hAnsiTheme="majorHAnsi" w:cs="Arial"/>
                <w:b/>
                <w:bCs/>
                <w:lang w:val="es-CO" w:eastAsia="es-ES"/>
              </w:rPr>
              <w:t>No. JUZGADO</w:t>
            </w:r>
          </w:p>
        </w:tc>
        <w:tc>
          <w:tcPr>
            <w:tcW w:w="2200" w:type="dxa"/>
            <w:shd w:val="clear" w:color="auto" w:fill="D9D9D9" w:themeFill="background1" w:themeFillShade="D9"/>
            <w:vAlign w:val="center"/>
            <w:hideMark/>
          </w:tcPr>
          <w:p w:rsidR="004816D0" w:rsidRPr="00002015" w:rsidRDefault="004816D0" w:rsidP="004816D0">
            <w:pPr>
              <w:spacing w:after="0" w:line="240" w:lineRule="auto"/>
              <w:jc w:val="center"/>
              <w:rPr>
                <w:rFonts w:asciiTheme="majorHAnsi" w:eastAsia="Times New Roman" w:hAnsiTheme="majorHAnsi" w:cs="Arial"/>
                <w:b/>
                <w:bCs/>
                <w:lang w:eastAsia="es-ES"/>
              </w:rPr>
            </w:pPr>
            <w:r w:rsidRPr="00002015">
              <w:rPr>
                <w:rFonts w:asciiTheme="majorHAnsi" w:eastAsia="Times New Roman" w:hAnsiTheme="majorHAnsi" w:cs="Arial"/>
                <w:b/>
                <w:bCs/>
                <w:lang w:val="es-CO" w:eastAsia="es-ES"/>
              </w:rPr>
              <w:t>PROCESOS SIN SENTENCIA</w:t>
            </w:r>
          </w:p>
        </w:tc>
        <w:tc>
          <w:tcPr>
            <w:tcW w:w="2000" w:type="dxa"/>
            <w:shd w:val="clear" w:color="auto" w:fill="D9D9D9" w:themeFill="background1" w:themeFillShade="D9"/>
            <w:vAlign w:val="center"/>
            <w:hideMark/>
          </w:tcPr>
          <w:p w:rsidR="004816D0" w:rsidRPr="00002015" w:rsidRDefault="004816D0" w:rsidP="004816D0">
            <w:pPr>
              <w:spacing w:after="0" w:line="240" w:lineRule="auto"/>
              <w:jc w:val="center"/>
              <w:rPr>
                <w:rFonts w:asciiTheme="majorHAnsi" w:eastAsia="Times New Roman" w:hAnsiTheme="majorHAnsi" w:cs="Arial"/>
                <w:b/>
                <w:bCs/>
                <w:lang w:eastAsia="es-ES"/>
              </w:rPr>
            </w:pPr>
            <w:r w:rsidRPr="00002015">
              <w:rPr>
                <w:rFonts w:asciiTheme="majorHAnsi" w:eastAsia="Times New Roman" w:hAnsiTheme="majorHAnsi" w:cs="Arial"/>
                <w:b/>
                <w:bCs/>
                <w:lang w:val="es-CO" w:eastAsia="es-ES"/>
              </w:rPr>
              <w:t>PROCESOS CON SENTENCIA</w:t>
            </w:r>
          </w:p>
        </w:tc>
        <w:tc>
          <w:tcPr>
            <w:tcW w:w="1980" w:type="dxa"/>
            <w:shd w:val="clear" w:color="auto" w:fill="D9D9D9" w:themeFill="background1" w:themeFillShade="D9"/>
            <w:vAlign w:val="center"/>
            <w:hideMark/>
          </w:tcPr>
          <w:p w:rsidR="004816D0" w:rsidRPr="00002015" w:rsidRDefault="004816D0" w:rsidP="004816D0">
            <w:pPr>
              <w:spacing w:after="0" w:line="240" w:lineRule="auto"/>
              <w:jc w:val="center"/>
              <w:rPr>
                <w:rFonts w:asciiTheme="majorHAnsi" w:eastAsia="Times New Roman" w:hAnsiTheme="majorHAnsi" w:cs="Arial"/>
                <w:b/>
                <w:bCs/>
                <w:lang w:eastAsia="es-ES"/>
              </w:rPr>
            </w:pPr>
            <w:r w:rsidRPr="00002015">
              <w:rPr>
                <w:rFonts w:asciiTheme="majorHAnsi" w:eastAsia="Times New Roman" w:hAnsiTheme="majorHAnsi" w:cs="Arial"/>
                <w:b/>
                <w:bCs/>
                <w:lang w:val="es-CO" w:eastAsia="es-ES"/>
              </w:rPr>
              <w:t>TOTAL INVENTARIO</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25</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1300</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1170</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2470</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23</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1083</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1139</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2222</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48</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992</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1213</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2205</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42</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375</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1133</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1508</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9</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616</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881</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1497</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44</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1010</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391</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1401</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28</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477</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833</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1310</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51</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579</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671</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1250</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62</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477</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773</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1250</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27</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801</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428</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1229</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8</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370</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833</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1203</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53</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467</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724</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1191</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29</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632</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541</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1173</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46</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507</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660</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1167</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41</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688</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465</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1153</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55</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557</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549</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1106</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34</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590</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504</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1094</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814</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224</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1038</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lastRenderedPageBreak/>
              <w:t>10</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386</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560</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946</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57</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406</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520</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926</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379</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539</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918</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70</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505</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328</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833</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26</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330</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469</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799</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19</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341</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415</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756</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52</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r>
      <w:tr w:rsidR="004816D0" w:rsidRPr="00B66D28" w:rsidTr="00A928C7">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54</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61</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r>
      <w:tr w:rsidR="004816D0" w:rsidRPr="00B66D28" w:rsidTr="00A928C7">
        <w:trPr>
          <w:trHeight w:val="585"/>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67</w:t>
            </w:r>
          </w:p>
        </w:tc>
        <w:tc>
          <w:tcPr>
            <w:tcW w:w="2200" w:type="dxa"/>
            <w:shd w:val="clear" w:color="auto" w:fill="FFFFFF" w:themeFill="background1"/>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 xml:space="preserve">NO SUMINISTRA INFORMACIÓN </w:t>
            </w:r>
          </w:p>
        </w:tc>
        <w:tc>
          <w:tcPr>
            <w:tcW w:w="2000" w:type="dxa"/>
            <w:shd w:val="clear" w:color="auto" w:fill="FFFFFF" w:themeFill="background1"/>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 xml:space="preserve">NO SUMINISTRA INFORMACIÓN </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r>
      <w:tr w:rsidR="004816D0" w:rsidRPr="00B66D28" w:rsidTr="0060136A">
        <w:trPr>
          <w:trHeight w:val="330"/>
          <w:jc w:val="center"/>
        </w:trPr>
        <w:tc>
          <w:tcPr>
            <w:tcW w:w="1800" w:type="dxa"/>
            <w:shd w:val="clear" w:color="auto" w:fill="FFFFFF" w:themeFill="background1"/>
            <w:noWrap/>
            <w:vAlign w:val="bottom"/>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69</w:t>
            </w:r>
          </w:p>
        </w:tc>
        <w:tc>
          <w:tcPr>
            <w:tcW w:w="22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c>
          <w:tcPr>
            <w:tcW w:w="200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c>
          <w:tcPr>
            <w:tcW w:w="1980" w:type="dxa"/>
            <w:shd w:val="clear" w:color="auto" w:fill="FFFFFF" w:themeFill="background1"/>
            <w:noWrap/>
            <w:vAlign w:val="center"/>
            <w:hideMark/>
          </w:tcPr>
          <w:p w:rsidR="004816D0" w:rsidRPr="00B66D28" w:rsidRDefault="004816D0" w:rsidP="004816D0">
            <w:pPr>
              <w:spacing w:after="0" w:line="240" w:lineRule="auto"/>
              <w:jc w:val="center"/>
              <w:rPr>
                <w:rFonts w:asciiTheme="majorHAnsi" w:eastAsia="Times New Roman" w:hAnsiTheme="majorHAnsi" w:cs="Arial"/>
                <w:color w:val="000000"/>
                <w:lang w:eastAsia="es-ES"/>
              </w:rPr>
            </w:pPr>
            <w:r w:rsidRPr="00B66D28">
              <w:rPr>
                <w:rFonts w:asciiTheme="majorHAnsi" w:eastAsia="Times New Roman" w:hAnsiTheme="majorHAnsi" w:cs="Arial"/>
                <w:color w:val="000000"/>
                <w:lang w:val="es-CO" w:eastAsia="es-ES"/>
              </w:rPr>
              <w:t>0</w:t>
            </w:r>
          </w:p>
        </w:tc>
      </w:tr>
      <w:tr w:rsidR="004816D0" w:rsidRPr="0060136A" w:rsidTr="00A928C7">
        <w:trPr>
          <w:trHeight w:val="330"/>
          <w:jc w:val="center"/>
        </w:trPr>
        <w:tc>
          <w:tcPr>
            <w:tcW w:w="1800" w:type="dxa"/>
            <w:shd w:val="clear" w:color="auto" w:fill="D9D9D9" w:themeFill="background1" w:themeFillShade="D9"/>
            <w:noWrap/>
            <w:vAlign w:val="bottom"/>
            <w:hideMark/>
          </w:tcPr>
          <w:p w:rsidR="004816D0" w:rsidRPr="0060136A" w:rsidRDefault="004816D0" w:rsidP="0060136A">
            <w:pPr>
              <w:spacing w:after="0" w:line="240" w:lineRule="auto"/>
              <w:jc w:val="center"/>
              <w:rPr>
                <w:rFonts w:asciiTheme="majorHAnsi" w:eastAsia="Times New Roman" w:hAnsiTheme="majorHAnsi" w:cs="Arial"/>
                <w:b/>
                <w:color w:val="000000"/>
                <w:lang w:eastAsia="es-ES"/>
              </w:rPr>
            </w:pPr>
            <w:r w:rsidRPr="0060136A">
              <w:rPr>
                <w:rFonts w:asciiTheme="majorHAnsi" w:eastAsia="Times New Roman" w:hAnsiTheme="majorHAnsi" w:cs="Arial"/>
                <w:b/>
                <w:color w:val="000000"/>
                <w:lang w:val="es-CO" w:eastAsia="es-ES"/>
              </w:rPr>
              <w:t>TOTAL</w:t>
            </w:r>
          </w:p>
        </w:tc>
        <w:tc>
          <w:tcPr>
            <w:tcW w:w="2200" w:type="dxa"/>
            <w:shd w:val="clear" w:color="auto" w:fill="D9D9D9" w:themeFill="background1" w:themeFillShade="D9"/>
            <w:noWrap/>
            <w:vAlign w:val="center"/>
            <w:hideMark/>
          </w:tcPr>
          <w:p w:rsidR="004816D0" w:rsidRPr="0060136A" w:rsidRDefault="004816D0" w:rsidP="004816D0">
            <w:pPr>
              <w:spacing w:after="0" w:line="240" w:lineRule="auto"/>
              <w:jc w:val="center"/>
              <w:rPr>
                <w:rFonts w:asciiTheme="majorHAnsi" w:eastAsia="Times New Roman" w:hAnsiTheme="majorHAnsi" w:cs="Arial"/>
                <w:b/>
                <w:color w:val="000000"/>
                <w:lang w:eastAsia="es-ES"/>
              </w:rPr>
            </w:pPr>
            <w:r w:rsidRPr="0060136A">
              <w:rPr>
                <w:rFonts w:asciiTheme="majorHAnsi" w:eastAsia="Times New Roman" w:hAnsiTheme="majorHAnsi" w:cs="Arial"/>
                <w:b/>
                <w:color w:val="000000"/>
                <w:lang w:val="es-CO" w:eastAsia="es-ES"/>
              </w:rPr>
              <w:t>14682</w:t>
            </w:r>
          </w:p>
        </w:tc>
        <w:tc>
          <w:tcPr>
            <w:tcW w:w="2000" w:type="dxa"/>
            <w:shd w:val="clear" w:color="auto" w:fill="D9D9D9" w:themeFill="background1" w:themeFillShade="D9"/>
            <w:noWrap/>
            <w:vAlign w:val="center"/>
            <w:hideMark/>
          </w:tcPr>
          <w:p w:rsidR="004816D0" w:rsidRPr="0060136A" w:rsidRDefault="004816D0" w:rsidP="004816D0">
            <w:pPr>
              <w:spacing w:after="0" w:line="240" w:lineRule="auto"/>
              <w:jc w:val="center"/>
              <w:rPr>
                <w:rFonts w:asciiTheme="majorHAnsi" w:eastAsia="Times New Roman" w:hAnsiTheme="majorHAnsi" w:cs="Arial"/>
                <w:b/>
                <w:color w:val="000000"/>
                <w:lang w:eastAsia="es-ES"/>
              </w:rPr>
            </w:pPr>
            <w:r w:rsidRPr="0060136A">
              <w:rPr>
                <w:rFonts w:asciiTheme="majorHAnsi" w:eastAsia="Times New Roman" w:hAnsiTheme="majorHAnsi" w:cs="Arial"/>
                <w:b/>
                <w:color w:val="000000"/>
                <w:lang w:val="es-CO" w:eastAsia="es-ES"/>
              </w:rPr>
              <w:t>15963</w:t>
            </w:r>
          </w:p>
        </w:tc>
        <w:tc>
          <w:tcPr>
            <w:tcW w:w="1980" w:type="dxa"/>
            <w:shd w:val="clear" w:color="auto" w:fill="D9D9D9" w:themeFill="background1" w:themeFillShade="D9"/>
            <w:noWrap/>
            <w:vAlign w:val="center"/>
            <w:hideMark/>
          </w:tcPr>
          <w:p w:rsidR="004816D0" w:rsidRPr="0060136A" w:rsidRDefault="004816D0" w:rsidP="004816D0">
            <w:pPr>
              <w:spacing w:after="0" w:line="240" w:lineRule="auto"/>
              <w:jc w:val="center"/>
              <w:rPr>
                <w:rFonts w:asciiTheme="majorHAnsi" w:eastAsia="Times New Roman" w:hAnsiTheme="majorHAnsi" w:cs="Arial"/>
                <w:b/>
                <w:color w:val="000000"/>
                <w:lang w:eastAsia="es-ES"/>
              </w:rPr>
            </w:pPr>
            <w:r w:rsidRPr="0060136A">
              <w:rPr>
                <w:rFonts w:asciiTheme="majorHAnsi" w:eastAsia="Times New Roman" w:hAnsiTheme="majorHAnsi" w:cs="Arial"/>
                <w:b/>
                <w:color w:val="000000"/>
                <w:lang w:val="es-CO" w:eastAsia="es-ES"/>
              </w:rPr>
              <w:t>30645</w:t>
            </w:r>
          </w:p>
        </w:tc>
      </w:tr>
    </w:tbl>
    <w:p w:rsidR="004816D0" w:rsidRDefault="004816D0" w:rsidP="004816D0">
      <w:pPr>
        <w:jc w:val="both"/>
      </w:pPr>
    </w:p>
    <w:p w:rsidR="00C33BC6" w:rsidRDefault="00C33BC6" w:rsidP="00500241">
      <w:pPr>
        <w:spacing w:after="0" w:line="360" w:lineRule="auto"/>
        <w:ind w:left="567" w:hanging="567"/>
        <w:jc w:val="both"/>
        <w:rPr>
          <w:rFonts w:ascii="Book Antiqua" w:hAnsi="Book Antiqua"/>
          <w:b/>
          <w:sz w:val="24"/>
          <w:szCs w:val="24"/>
          <w:lang w:val="es-CO"/>
        </w:rPr>
      </w:pPr>
    </w:p>
    <w:p w:rsidR="00500241" w:rsidRPr="00500241" w:rsidRDefault="00500241" w:rsidP="00500241">
      <w:pPr>
        <w:spacing w:after="0" w:line="360" w:lineRule="auto"/>
        <w:ind w:left="567" w:hanging="567"/>
        <w:jc w:val="both"/>
        <w:rPr>
          <w:rFonts w:ascii="Book Antiqua" w:hAnsi="Book Antiqua"/>
          <w:b/>
          <w:sz w:val="24"/>
          <w:szCs w:val="24"/>
          <w:lang w:val="es-CO"/>
        </w:rPr>
      </w:pPr>
      <w:r w:rsidRPr="001D5EB8">
        <w:rPr>
          <w:rFonts w:ascii="Book Antiqua" w:hAnsi="Book Antiqua"/>
          <w:b/>
          <w:sz w:val="24"/>
          <w:szCs w:val="24"/>
          <w:lang w:val="es-CO"/>
        </w:rPr>
        <w:t>3.</w:t>
      </w:r>
      <w:r>
        <w:rPr>
          <w:rFonts w:ascii="Book Antiqua" w:hAnsi="Book Antiqua"/>
          <w:b/>
          <w:sz w:val="24"/>
          <w:szCs w:val="24"/>
          <w:lang w:val="es-CO"/>
        </w:rPr>
        <w:t>2</w:t>
      </w:r>
      <w:r w:rsidRPr="001D5EB8">
        <w:rPr>
          <w:rFonts w:ascii="Book Antiqua" w:hAnsi="Book Antiqua"/>
          <w:b/>
          <w:sz w:val="24"/>
          <w:szCs w:val="24"/>
          <w:lang w:val="es-CO"/>
        </w:rPr>
        <w:t>.</w:t>
      </w:r>
      <w:r>
        <w:rPr>
          <w:rFonts w:ascii="Book Antiqua" w:hAnsi="Book Antiqua"/>
          <w:b/>
          <w:sz w:val="24"/>
          <w:szCs w:val="24"/>
          <w:lang w:val="es-CO"/>
        </w:rPr>
        <w:t>-</w:t>
      </w:r>
      <w:r w:rsidRPr="001D5EB8">
        <w:rPr>
          <w:rFonts w:ascii="Book Antiqua" w:hAnsi="Book Antiqua"/>
          <w:b/>
          <w:sz w:val="24"/>
          <w:szCs w:val="24"/>
          <w:lang w:val="es-CO"/>
        </w:rPr>
        <w:t xml:space="preserve"> JUZGADOS </w:t>
      </w:r>
      <w:r>
        <w:rPr>
          <w:rFonts w:ascii="Book Antiqua" w:hAnsi="Book Antiqua"/>
          <w:b/>
          <w:sz w:val="24"/>
          <w:szCs w:val="24"/>
          <w:lang w:val="es-CO"/>
        </w:rPr>
        <w:t>DE FAMILIA</w:t>
      </w:r>
      <w:r w:rsidRPr="001D5EB8">
        <w:rPr>
          <w:rFonts w:ascii="Book Antiqua" w:hAnsi="Book Antiqua"/>
          <w:b/>
          <w:sz w:val="24"/>
          <w:szCs w:val="24"/>
          <w:lang w:val="es-CO"/>
        </w:rPr>
        <w:t xml:space="preserve"> DE ORALIDAD </w:t>
      </w:r>
    </w:p>
    <w:p w:rsidR="00500241" w:rsidRDefault="00500241" w:rsidP="004E7B5A">
      <w:pPr>
        <w:adjustRightInd w:val="0"/>
        <w:spacing w:line="360" w:lineRule="auto"/>
        <w:jc w:val="both"/>
        <w:textAlignment w:val="baseline"/>
        <w:rPr>
          <w:rFonts w:ascii="Book Antiqua" w:hAnsi="Book Antiqua"/>
          <w:sz w:val="24"/>
          <w:szCs w:val="24"/>
          <w:lang w:val="es-CO"/>
        </w:rPr>
      </w:pPr>
    </w:p>
    <w:p w:rsidR="008C6B59" w:rsidRDefault="008C6B59" w:rsidP="004E7B5A">
      <w:pPr>
        <w:adjustRightInd w:val="0"/>
        <w:spacing w:line="360" w:lineRule="auto"/>
        <w:jc w:val="both"/>
        <w:textAlignment w:val="baseline"/>
        <w:rPr>
          <w:rFonts w:ascii="Book Antiqua" w:hAnsi="Book Antiqua"/>
          <w:sz w:val="24"/>
          <w:szCs w:val="24"/>
          <w:lang w:val="es-CO"/>
        </w:rPr>
      </w:pPr>
      <w:r w:rsidRPr="00E141EC">
        <w:rPr>
          <w:rFonts w:ascii="Book Antiqua" w:hAnsi="Book Antiqua"/>
          <w:sz w:val="24"/>
          <w:szCs w:val="24"/>
          <w:lang w:val="es-CO"/>
        </w:rPr>
        <w:t xml:space="preserve">En el año 2014, fueron repartidos a los Juzgados de Familia de Bogotá, D.C., según información del “Sistema de Información Estadístico de la Rama Judicial”, </w:t>
      </w:r>
      <w:r w:rsidRPr="008C6B59">
        <w:rPr>
          <w:rFonts w:ascii="Book Antiqua" w:hAnsi="Book Antiqua"/>
          <w:sz w:val="24"/>
          <w:szCs w:val="24"/>
          <w:lang w:val="es-CO"/>
        </w:rPr>
        <w:t>24.831</w:t>
      </w:r>
      <w:r w:rsidRPr="00E141EC">
        <w:rPr>
          <w:rFonts w:ascii="Book Antiqua" w:hAnsi="Book Antiqua"/>
          <w:sz w:val="24"/>
          <w:szCs w:val="24"/>
          <w:lang w:val="es-CO"/>
        </w:rPr>
        <w:t xml:space="preserve"> procesos nuevos, que representan el 12% del total nacional, esto sin contar con que la situación de anormalidad laboral afectó la recepción de nuevas demandas durante los últimos tres meses del año, con motivo del paro judicial.</w:t>
      </w:r>
    </w:p>
    <w:p w:rsidR="00120D94" w:rsidRDefault="008C6B59" w:rsidP="00120D94">
      <w:pPr>
        <w:adjustRightInd w:val="0"/>
        <w:spacing w:line="360" w:lineRule="auto"/>
        <w:jc w:val="both"/>
        <w:textAlignment w:val="baseline"/>
        <w:rPr>
          <w:rFonts w:ascii="Book Antiqua" w:hAnsi="Book Antiqua"/>
          <w:sz w:val="24"/>
          <w:szCs w:val="24"/>
          <w:lang w:val="es-CO"/>
        </w:rPr>
      </w:pPr>
      <w:r w:rsidRPr="00E141EC">
        <w:rPr>
          <w:rFonts w:ascii="Book Antiqua" w:hAnsi="Book Antiqua"/>
          <w:sz w:val="24"/>
          <w:szCs w:val="24"/>
          <w:lang w:val="es-CO"/>
        </w:rPr>
        <w:t>Para responder a la demanda de Justicia ya señalada, Bogotá tiene 23 Juzgados de Familia permanentes, lo que quiere decir que, a cada Juez de Familia se le reparten anualmente, al menos 1078 procesos nuevos, que se suman a los que por total incapacidad física los Jueces no alcanzan a evacuar en el año anterior.</w:t>
      </w:r>
    </w:p>
    <w:p w:rsidR="00120D94" w:rsidRPr="00E141EC" w:rsidRDefault="00120D94" w:rsidP="00120D94">
      <w:pPr>
        <w:adjustRightInd w:val="0"/>
        <w:spacing w:line="360" w:lineRule="auto"/>
        <w:jc w:val="both"/>
        <w:textAlignment w:val="baseline"/>
        <w:rPr>
          <w:rFonts w:ascii="Book Antiqua" w:hAnsi="Book Antiqua"/>
          <w:sz w:val="24"/>
          <w:szCs w:val="24"/>
          <w:lang w:val="es-CO"/>
        </w:rPr>
      </w:pPr>
      <w:r w:rsidRPr="00E141EC">
        <w:rPr>
          <w:rFonts w:ascii="Book Antiqua" w:hAnsi="Book Antiqua"/>
          <w:sz w:val="24"/>
          <w:szCs w:val="24"/>
          <w:lang w:val="es-CO"/>
        </w:rPr>
        <w:t>El Informe de Estimación de Cargas Razonables de Trabajo, elaborado por el Banco Mundial</w:t>
      </w:r>
      <w:r w:rsidRPr="00E141EC">
        <w:rPr>
          <w:rStyle w:val="Refdenotaalpie"/>
          <w:rFonts w:ascii="Book Antiqua" w:hAnsi="Book Antiqua"/>
          <w:sz w:val="24"/>
          <w:szCs w:val="24"/>
          <w:lang w:val="es-CO"/>
        </w:rPr>
        <w:footnoteReference w:id="6"/>
      </w:r>
      <w:r w:rsidRPr="00E141EC">
        <w:rPr>
          <w:rFonts w:ascii="Book Antiqua" w:hAnsi="Book Antiqua"/>
          <w:sz w:val="24"/>
          <w:szCs w:val="24"/>
          <w:lang w:val="es-CO"/>
        </w:rPr>
        <w:t xml:space="preserve"> para el Consejo Superior de la Judicatura, define como tal, el “</w:t>
      </w:r>
      <w:r w:rsidRPr="00E141EC">
        <w:rPr>
          <w:rFonts w:ascii="Book Antiqua" w:hAnsi="Book Antiqua"/>
          <w:i/>
          <w:sz w:val="24"/>
          <w:szCs w:val="24"/>
          <w:lang w:val="es-CO"/>
        </w:rPr>
        <w:t>volumen de inventario que un despacho puede manejar sujeto a su capacidad de evacuación”</w:t>
      </w:r>
      <w:r w:rsidRPr="00E141EC">
        <w:rPr>
          <w:rFonts w:ascii="Book Antiqua" w:hAnsi="Book Antiqua"/>
          <w:sz w:val="24"/>
          <w:szCs w:val="24"/>
          <w:lang w:val="es-CO"/>
        </w:rPr>
        <w:t>, y destaca que para los Juzgados de Familia la carga razonable es de 478 procesos al año, lo que quiere decir que la carga impuesta a nuestros Jueces, casi que triplica el concepto de lo razonable.</w:t>
      </w:r>
    </w:p>
    <w:p w:rsidR="008C6B59" w:rsidRPr="00E141EC" w:rsidRDefault="008C6B59" w:rsidP="004E7B5A">
      <w:pPr>
        <w:adjustRightInd w:val="0"/>
        <w:spacing w:line="360" w:lineRule="auto"/>
        <w:jc w:val="both"/>
        <w:textAlignment w:val="baseline"/>
        <w:rPr>
          <w:rFonts w:ascii="Book Antiqua" w:hAnsi="Book Antiqua"/>
          <w:sz w:val="24"/>
          <w:szCs w:val="24"/>
          <w:lang w:val="es-CO"/>
        </w:rPr>
      </w:pPr>
      <w:r w:rsidRPr="00E141EC">
        <w:rPr>
          <w:rFonts w:ascii="Book Antiqua" w:hAnsi="Book Antiqua"/>
          <w:sz w:val="24"/>
          <w:szCs w:val="24"/>
          <w:lang w:val="es-CO"/>
        </w:rPr>
        <w:lastRenderedPageBreak/>
        <w:t>Consecuencia de lo anterior, el inventario de procesos creciente obligó al Consejo Superior de Judicatura a establecer una medidas de descongestión; por</w:t>
      </w:r>
      <w:r w:rsidR="00E5457D">
        <w:rPr>
          <w:rFonts w:ascii="Book Antiqua" w:hAnsi="Book Antiqua"/>
          <w:sz w:val="24"/>
          <w:szCs w:val="24"/>
          <w:lang w:val="es-CO"/>
        </w:rPr>
        <w:t xml:space="preserve"> el </w:t>
      </w:r>
      <w:r w:rsidRPr="00E141EC">
        <w:rPr>
          <w:rFonts w:ascii="Book Antiqua" w:hAnsi="Book Antiqua"/>
          <w:sz w:val="24"/>
          <w:szCs w:val="24"/>
          <w:lang w:val="es-CO"/>
        </w:rPr>
        <w:t>Acuerdo N° PSAA13-9962 del 31 de julio de 2013, se crearon 7 Juzgados de Familia de Descongestión y 3 Juzgados de Familia de Ejecución, medidas que si bien, logran paliar la situación, no la resuelven de fondo, pues, hoy en día enfrentamos la paradoja de “la congestión de la descongestión”.</w:t>
      </w:r>
    </w:p>
    <w:p w:rsidR="008C6B59" w:rsidRDefault="008C6B59" w:rsidP="008C6B59">
      <w:pPr>
        <w:spacing w:after="0" w:line="360" w:lineRule="auto"/>
        <w:jc w:val="both"/>
        <w:rPr>
          <w:rFonts w:ascii="Book Antiqua" w:hAnsi="Book Antiqua"/>
          <w:sz w:val="24"/>
          <w:szCs w:val="24"/>
          <w:lang w:val="es-CO"/>
        </w:rPr>
      </w:pPr>
      <w:r w:rsidRPr="00E141EC">
        <w:rPr>
          <w:rFonts w:ascii="Book Antiqua" w:hAnsi="Book Antiqua"/>
          <w:sz w:val="24"/>
          <w:szCs w:val="24"/>
          <w:lang w:val="es-CO"/>
        </w:rPr>
        <w:t xml:space="preserve">De otro lado, los procesos </w:t>
      </w:r>
      <w:r>
        <w:rPr>
          <w:rFonts w:ascii="Book Antiqua" w:hAnsi="Book Antiqua"/>
          <w:sz w:val="24"/>
          <w:szCs w:val="24"/>
          <w:lang w:val="es-CO"/>
        </w:rPr>
        <w:t xml:space="preserve">escriturales </w:t>
      </w:r>
      <w:r w:rsidRPr="00E141EC">
        <w:rPr>
          <w:rFonts w:ascii="Book Antiqua" w:hAnsi="Book Antiqua"/>
          <w:sz w:val="24"/>
          <w:szCs w:val="24"/>
          <w:lang w:val="es-CO"/>
        </w:rPr>
        <w:t>que venían conociendo los Juzgados que ingresaron al sistema de oralidad (Juzgados Primero, Sexto, Séptimo, Octavo, Décimo, Catorce, Quince, Diecinueve, Veinte y Veintitrés de Familia de esta ciudad), fueron remitidos a los Juzgados de Familia de Descongestión, los cuales para este año han recibido en promedio 850 procesos, así:</w:t>
      </w:r>
    </w:p>
    <w:p w:rsidR="004E7B5A" w:rsidRDefault="004E7B5A" w:rsidP="004E7B5A">
      <w:pPr>
        <w:pStyle w:val="Ttulo1"/>
        <w:jc w:val="center"/>
        <w:rPr>
          <w:rFonts w:eastAsia="Times New Roman"/>
          <w:b/>
          <w:color w:val="auto"/>
          <w:sz w:val="24"/>
          <w:szCs w:val="24"/>
          <w:lang w:eastAsia="es-ES"/>
        </w:rPr>
      </w:pPr>
      <w:r w:rsidRPr="00002015">
        <w:rPr>
          <w:rFonts w:eastAsia="Times New Roman"/>
          <w:b/>
          <w:color w:val="auto"/>
          <w:sz w:val="24"/>
          <w:szCs w:val="24"/>
          <w:lang w:eastAsia="es-ES"/>
        </w:rPr>
        <w:t>CUADRO ESTAD</w:t>
      </w:r>
      <w:r w:rsidR="006551D9" w:rsidRPr="00002015">
        <w:rPr>
          <w:rFonts w:eastAsia="Times New Roman"/>
          <w:b/>
          <w:color w:val="auto"/>
          <w:sz w:val="24"/>
          <w:szCs w:val="24"/>
          <w:lang w:eastAsia="es-ES"/>
        </w:rPr>
        <w:t>Í</w:t>
      </w:r>
      <w:r w:rsidRPr="00002015">
        <w:rPr>
          <w:rFonts w:eastAsia="Times New Roman"/>
          <w:b/>
          <w:color w:val="auto"/>
          <w:sz w:val="24"/>
          <w:szCs w:val="24"/>
          <w:lang w:eastAsia="es-ES"/>
        </w:rPr>
        <w:t>STICO REPARTO EN LOS JUZGADOS DE DESCONGESTIÓN</w:t>
      </w:r>
    </w:p>
    <w:tbl>
      <w:tblPr>
        <w:tblStyle w:val="GridTable4Accent5"/>
        <w:tblW w:w="8120" w:type="dxa"/>
        <w:shd w:val="clear" w:color="auto" w:fill="F2F2F2" w:themeFill="background1" w:themeFillShade="F2"/>
        <w:tblLook w:val="04A0" w:firstRow="1" w:lastRow="0" w:firstColumn="1" w:lastColumn="0" w:noHBand="0" w:noVBand="1"/>
      </w:tblPr>
      <w:tblGrid>
        <w:gridCol w:w="4120"/>
        <w:gridCol w:w="4000"/>
      </w:tblGrid>
      <w:tr w:rsidR="004E7B5A" w:rsidRPr="00002015" w:rsidTr="002312D3">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20" w:type="dxa"/>
            <w:shd w:val="clear" w:color="auto" w:fill="D9D9D9" w:themeFill="background1" w:themeFillShade="D9"/>
            <w:hideMark/>
          </w:tcPr>
          <w:p w:rsidR="004E7B5A" w:rsidRPr="00002015" w:rsidRDefault="004E7B5A" w:rsidP="00C6337C">
            <w:pPr>
              <w:jc w:val="center"/>
              <w:rPr>
                <w:rFonts w:asciiTheme="majorHAnsi" w:eastAsia="Times New Roman" w:hAnsiTheme="majorHAnsi" w:cs="Arial"/>
                <w:b w:val="0"/>
                <w:bCs w:val="0"/>
                <w:color w:val="auto"/>
                <w:lang w:eastAsia="es-ES"/>
              </w:rPr>
            </w:pPr>
            <w:r w:rsidRPr="00002015">
              <w:rPr>
                <w:rFonts w:asciiTheme="majorHAnsi" w:eastAsia="Times New Roman" w:hAnsiTheme="majorHAnsi" w:cs="Arial"/>
                <w:color w:val="auto"/>
                <w:lang w:eastAsia="es-ES"/>
              </w:rPr>
              <w:t>JUZGADOS DE DESCONGESTIÓN</w:t>
            </w:r>
          </w:p>
        </w:tc>
        <w:tc>
          <w:tcPr>
            <w:tcW w:w="4000" w:type="dxa"/>
            <w:shd w:val="clear" w:color="auto" w:fill="D9D9D9" w:themeFill="background1" w:themeFillShade="D9"/>
            <w:hideMark/>
          </w:tcPr>
          <w:p w:rsidR="004E7B5A" w:rsidRPr="00002015" w:rsidRDefault="004E7B5A" w:rsidP="00C6337C">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Arial"/>
                <w:b w:val="0"/>
                <w:bCs w:val="0"/>
                <w:color w:val="auto"/>
                <w:lang w:eastAsia="es-ES"/>
              </w:rPr>
            </w:pPr>
            <w:r w:rsidRPr="00002015">
              <w:rPr>
                <w:rFonts w:asciiTheme="majorHAnsi" w:eastAsia="Times New Roman" w:hAnsiTheme="majorHAnsi" w:cs="Arial"/>
                <w:color w:val="auto"/>
                <w:lang w:eastAsia="es-ES"/>
              </w:rPr>
              <w:t>PROCESOS RECIBIDOS EN 2015</w:t>
            </w:r>
          </w:p>
        </w:tc>
      </w:tr>
      <w:tr w:rsidR="004E7B5A" w:rsidRPr="00471FA1" w:rsidTr="002312D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20" w:type="dxa"/>
            <w:shd w:val="clear" w:color="auto" w:fill="FFFFFF" w:themeFill="background1"/>
            <w:hideMark/>
          </w:tcPr>
          <w:p w:rsidR="004E7B5A" w:rsidRPr="00471FA1" w:rsidRDefault="004E7B5A" w:rsidP="00C6337C">
            <w:pPr>
              <w:jc w:val="center"/>
              <w:rPr>
                <w:rFonts w:asciiTheme="majorHAnsi" w:eastAsia="Times New Roman" w:hAnsiTheme="majorHAnsi" w:cs="Arial"/>
                <w:bCs w:val="0"/>
                <w:color w:val="000000"/>
                <w:lang w:eastAsia="es-ES"/>
              </w:rPr>
            </w:pPr>
            <w:r w:rsidRPr="00471FA1">
              <w:rPr>
                <w:rFonts w:asciiTheme="majorHAnsi" w:eastAsia="Times New Roman" w:hAnsiTheme="majorHAnsi" w:cs="Arial"/>
                <w:color w:val="000000"/>
                <w:lang w:eastAsia="es-ES"/>
              </w:rPr>
              <w:t>Séptimo</w:t>
            </w:r>
          </w:p>
        </w:tc>
        <w:tc>
          <w:tcPr>
            <w:tcW w:w="4000" w:type="dxa"/>
            <w:shd w:val="clear" w:color="auto" w:fill="FFFFFF" w:themeFill="background1"/>
            <w:hideMark/>
          </w:tcPr>
          <w:p w:rsidR="004E7B5A" w:rsidRPr="00471FA1" w:rsidRDefault="004E7B5A" w:rsidP="00C6337C">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Arial"/>
                <w:color w:val="000000"/>
                <w:lang w:eastAsia="es-ES"/>
              </w:rPr>
            </w:pPr>
            <w:r w:rsidRPr="00471FA1">
              <w:rPr>
                <w:rFonts w:asciiTheme="majorHAnsi" w:eastAsia="Times New Roman" w:hAnsiTheme="majorHAnsi" w:cs="Arial"/>
                <w:color w:val="000000"/>
                <w:lang w:eastAsia="es-ES"/>
              </w:rPr>
              <w:t>897</w:t>
            </w:r>
          </w:p>
        </w:tc>
      </w:tr>
      <w:tr w:rsidR="004E7B5A" w:rsidRPr="00471FA1" w:rsidTr="002312D3">
        <w:trPr>
          <w:trHeight w:val="330"/>
        </w:trPr>
        <w:tc>
          <w:tcPr>
            <w:cnfStyle w:val="001000000000" w:firstRow="0" w:lastRow="0" w:firstColumn="1" w:lastColumn="0" w:oddVBand="0" w:evenVBand="0" w:oddHBand="0" w:evenHBand="0" w:firstRowFirstColumn="0" w:firstRowLastColumn="0" w:lastRowFirstColumn="0" w:lastRowLastColumn="0"/>
            <w:tcW w:w="4120" w:type="dxa"/>
            <w:shd w:val="clear" w:color="auto" w:fill="FFFFFF" w:themeFill="background1"/>
            <w:hideMark/>
          </w:tcPr>
          <w:p w:rsidR="004E7B5A" w:rsidRPr="00471FA1" w:rsidRDefault="004E7B5A" w:rsidP="00C6337C">
            <w:pPr>
              <w:jc w:val="center"/>
              <w:rPr>
                <w:rFonts w:asciiTheme="majorHAnsi" w:eastAsia="Times New Roman" w:hAnsiTheme="majorHAnsi" w:cs="Arial"/>
                <w:bCs w:val="0"/>
                <w:color w:val="000000"/>
                <w:lang w:eastAsia="es-ES"/>
              </w:rPr>
            </w:pPr>
            <w:r w:rsidRPr="00471FA1">
              <w:rPr>
                <w:rFonts w:asciiTheme="majorHAnsi" w:eastAsia="Times New Roman" w:hAnsiTheme="majorHAnsi" w:cs="Arial"/>
                <w:color w:val="000000"/>
                <w:lang w:eastAsia="es-ES"/>
              </w:rPr>
              <w:t>Quinto</w:t>
            </w:r>
          </w:p>
        </w:tc>
        <w:tc>
          <w:tcPr>
            <w:tcW w:w="4000" w:type="dxa"/>
            <w:shd w:val="clear" w:color="auto" w:fill="FFFFFF" w:themeFill="background1"/>
            <w:hideMark/>
          </w:tcPr>
          <w:p w:rsidR="004E7B5A" w:rsidRPr="00471FA1" w:rsidRDefault="004E7B5A" w:rsidP="00C6337C">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color w:val="000000"/>
                <w:lang w:eastAsia="es-ES"/>
              </w:rPr>
            </w:pPr>
            <w:r w:rsidRPr="00471FA1">
              <w:rPr>
                <w:rFonts w:asciiTheme="majorHAnsi" w:eastAsia="Times New Roman" w:hAnsiTheme="majorHAnsi" w:cs="Arial"/>
                <w:color w:val="000000"/>
                <w:lang w:eastAsia="es-ES"/>
              </w:rPr>
              <w:t>843</w:t>
            </w:r>
          </w:p>
        </w:tc>
      </w:tr>
      <w:tr w:rsidR="004E7B5A" w:rsidRPr="00471FA1" w:rsidTr="002312D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20" w:type="dxa"/>
            <w:shd w:val="clear" w:color="auto" w:fill="FFFFFF" w:themeFill="background1"/>
            <w:hideMark/>
          </w:tcPr>
          <w:p w:rsidR="004E7B5A" w:rsidRPr="00471FA1" w:rsidRDefault="004E7B5A" w:rsidP="00C6337C">
            <w:pPr>
              <w:jc w:val="center"/>
              <w:rPr>
                <w:rFonts w:asciiTheme="majorHAnsi" w:eastAsia="Times New Roman" w:hAnsiTheme="majorHAnsi" w:cs="Arial"/>
                <w:bCs w:val="0"/>
                <w:color w:val="000000"/>
                <w:lang w:eastAsia="es-ES"/>
              </w:rPr>
            </w:pPr>
            <w:r w:rsidRPr="00471FA1">
              <w:rPr>
                <w:rFonts w:asciiTheme="majorHAnsi" w:eastAsia="Times New Roman" w:hAnsiTheme="majorHAnsi" w:cs="Arial"/>
                <w:color w:val="000000"/>
                <w:lang w:eastAsia="es-ES"/>
              </w:rPr>
              <w:t>Tercero</w:t>
            </w:r>
          </w:p>
        </w:tc>
        <w:tc>
          <w:tcPr>
            <w:tcW w:w="4000" w:type="dxa"/>
            <w:shd w:val="clear" w:color="auto" w:fill="FFFFFF" w:themeFill="background1"/>
            <w:hideMark/>
          </w:tcPr>
          <w:p w:rsidR="004E7B5A" w:rsidRPr="00471FA1" w:rsidRDefault="004E7B5A" w:rsidP="00C6337C">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Arial"/>
                <w:color w:val="000000"/>
                <w:lang w:eastAsia="es-ES"/>
              </w:rPr>
            </w:pPr>
            <w:r w:rsidRPr="00471FA1">
              <w:rPr>
                <w:rFonts w:asciiTheme="majorHAnsi" w:eastAsia="Times New Roman" w:hAnsiTheme="majorHAnsi" w:cs="Arial"/>
                <w:color w:val="000000"/>
                <w:lang w:eastAsia="es-ES"/>
              </w:rPr>
              <w:t>810</w:t>
            </w:r>
          </w:p>
        </w:tc>
      </w:tr>
      <w:tr w:rsidR="004E7B5A" w:rsidRPr="00471FA1" w:rsidTr="002312D3">
        <w:trPr>
          <w:trHeight w:val="330"/>
        </w:trPr>
        <w:tc>
          <w:tcPr>
            <w:cnfStyle w:val="001000000000" w:firstRow="0" w:lastRow="0" w:firstColumn="1" w:lastColumn="0" w:oddVBand="0" w:evenVBand="0" w:oddHBand="0" w:evenHBand="0" w:firstRowFirstColumn="0" w:firstRowLastColumn="0" w:lastRowFirstColumn="0" w:lastRowLastColumn="0"/>
            <w:tcW w:w="4120" w:type="dxa"/>
            <w:shd w:val="clear" w:color="auto" w:fill="FFFFFF" w:themeFill="background1"/>
            <w:hideMark/>
          </w:tcPr>
          <w:p w:rsidR="004E7B5A" w:rsidRPr="00471FA1" w:rsidRDefault="004E7B5A" w:rsidP="00C6337C">
            <w:pPr>
              <w:jc w:val="center"/>
              <w:rPr>
                <w:rFonts w:asciiTheme="majorHAnsi" w:eastAsia="Times New Roman" w:hAnsiTheme="majorHAnsi" w:cs="Arial"/>
                <w:bCs w:val="0"/>
                <w:color w:val="000000"/>
                <w:lang w:eastAsia="es-ES"/>
              </w:rPr>
            </w:pPr>
            <w:r w:rsidRPr="00471FA1">
              <w:rPr>
                <w:rFonts w:asciiTheme="majorHAnsi" w:eastAsia="Times New Roman" w:hAnsiTheme="majorHAnsi" w:cs="Arial"/>
                <w:color w:val="000000"/>
                <w:lang w:eastAsia="es-ES"/>
              </w:rPr>
              <w:t>Segundo</w:t>
            </w:r>
          </w:p>
        </w:tc>
        <w:tc>
          <w:tcPr>
            <w:tcW w:w="4000" w:type="dxa"/>
            <w:shd w:val="clear" w:color="auto" w:fill="FFFFFF" w:themeFill="background1"/>
            <w:hideMark/>
          </w:tcPr>
          <w:p w:rsidR="004E7B5A" w:rsidRPr="00471FA1" w:rsidRDefault="004E7B5A" w:rsidP="00C6337C">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color w:val="000000"/>
                <w:lang w:eastAsia="es-ES"/>
              </w:rPr>
            </w:pPr>
            <w:r w:rsidRPr="00471FA1">
              <w:rPr>
                <w:rFonts w:asciiTheme="majorHAnsi" w:eastAsia="Times New Roman" w:hAnsiTheme="majorHAnsi" w:cs="Arial"/>
                <w:color w:val="000000"/>
                <w:lang w:eastAsia="es-ES"/>
              </w:rPr>
              <w:t>808</w:t>
            </w:r>
          </w:p>
        </w:tc>
      </w:tr>
      <w:tr w:rsidR="004E7B5A" w:rsidRPr="00471FA1" w:rsidTr="002312D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20" w:type="dxa"/>
            <w:shd w:val="clear" w:color="auto" w:fill="FFFFFF" w:themeFill="background1"/>
            <w:hideMark/>
          </w:tcPr>
          <w:p w:rsidR="004E7B5A" w:rsidRPr="00471FA1" w:rsidRDefault="004E7B5A" w:rsidP="00C6337C">
            <w:pPr>
              <w:jc w:val="center"/>
              <w:rPr>
                <w:rFonts w:asciiTheme="majorHAnsi" w:eastAsia="Times New Roman" w:hAnsiTheme="majorHAnsi" w:cs="Arial"/>
                <w:bCs w:val="0"/>
                <w:color w:val="000000"/>
                <w:lang w:eastAsia="es-ES"/>
              </w:rPr>
            </w:pPr>
            <w:r w:rsidRPr="00471FA1">
              <w:rPr>
                <w:rFonts w:asciiTheme="majorHAnsi" w:eastAsia="Times New Roman" w:hAnsiTheme="majorHAnsi" w:cs="Arial"/>
                <w:color w:val="000000"/>
                <w:lang w:eastAsia="es-ES"/>
              </w:rPr>
              <w:t>Cuarto</w:t>
            </w:r>
          </w:p>
        </w:tc>
        <w:tc>
          <w:tcPr>
            <w:tcW w:w="4000" w:type="dxa"/>
            <w:shd w:val="clear" w:color="auto" w:fill="FFFFFF" w:themeFill="background1"/>
            <w:hideMark/>
          </w:tcPr>
          <w:p w:rsidR="004E7B5A" w:rsidRPr="00471FA1" w:rsidRDefault="004E7B5A" w:rsidP="00C6337C">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Arial"/>
                <w:color w:val="000000"/>
                <w:lang w:eastAsia="es-ES"/>
              </w:rPr>
            </w:pPr>
            <w:r w:rsidRPr="00471FA1">
              <w:rPr>
                <w:rFonts w:asciiTheme="majorHAnsi" w:eastAsia="Times New Roman" w:hAnsiTheme="majorHAnsi" w:cs="Arial"/>
                <w:color w:val="000000"/>
                <w:lang w:eastAsia="es-ES"/>
              </w:rPr>
              <w:t>808</w:t>
            </w:r>
          </w:p>
        </w:tc>
      </w:tr>
      <w:tr w:rsidR="004E7B5A" w:rsidRPr="00471FA1" w:rsidTr="002312D3">
        <w:trPr>
          <w:trHeight w:val="330"/>
        </w:trPr>
        <w:tc>
          <w:tcPr>
            <w:cnfStyle w:val="001000000000" w:firstRow="0" w:lastRow="0" w:firstColumn="1" w:lastColumn="0" w:oddVBand="0" w:evenVBand="0" w:oddHBand="0" w:evenHBand="0" w:firstRowFirstColumn="0" w:firstRowLastColumn="0" w:lastRowFirstColumn="0" w:lastRowLastColumn="0"/>
            <w:tcW w:w="4120" w:type="dxa"/>
            <w:shd w:val="clear" w:color="auto" w:fill="FFFFFF" w:themeFill="background1"/>
            <w:hideMark/>
          </w:tcPr>
          <w:p w:rsidR="004E7B5A" w:rsidRPr="00471FA1" w:rsidRDefault="004E7B5A" w:rsidP="00C6337C">
            <w:pPr>
              <w:jc w:val="center"/>
              <w:rPr>
                <w:rFonts w:asciiTheme="majorHAnsi" w:eastAsia="Times New Roman" w:hAnsiTheme="majorHAnsi" w:cs="Arial"/>
                <w:bCs w:val="0"/>
                <w:color w:val="000000"/>
                <w:lang w:eastAsia="es-ES"/>
              </w:rPr>
            </w:pPr>
            <w:r w:rsidRPr="00471FA1">
              <w:rPr>
                <w:rFonts w:asciiTheme="majorHAnsi" w:eastAsia="Times New Roman" w:hAnsiTheme="majorHAnsi" w:cs="Arial"/>
                <w:color w:val="000000"/>
                <w:lang w:eastAsia="es-ES"/>
              </w:rPr>
              <w:t>Sexto</w:t>
            </w:r>
          </w:p>
        </w:tc>
        <w:tc>
          <w:tcPr>
            <w:tcW w:w="4000" w:type="dxa"/>
            <w:shd w:val="clear" w:color="auto" w:fill="FFFFFF" w:themeFill="background1"/>
            <w:hideMark/>
          </w:tcPr>
          <w:p w:rsidR="004E7B5A" w:rsidRPr="00471FA1" w:rsidRDefault="004E7B5A" w:rsidP="00C6337C">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color w:val="000000"/>
                <w:lang w:eastAsia="es-ES"/>
              </w:rPr>
            </w:pPr>
            <w:r w:rsidRPr="00471FA1">
              <w:rPr>
                <w:rFonts w:asciiTheme="majorHAnsi" w:eastAsia="Times New Roman" w:hAnsiTheme="majorHAnsi" w:cs="Arial"/>
                <w:color w:val="000000"/>
                <w:lang w:eastAsia="es-ES"/>
              </w:rPr>
              <w:t>798</w:t>
            </w:r>
          </w:p>
        </w:tc>
      </w:tr>
      <w:tr w:rsidR="004E7B5A" w:rsidRPr="00471FA1" w:rsidTr="002312D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20" w:type="dxa"/>
            <w:shd w:val="clear" w:color="auto" w:fill="FFFFFF" w:themeFill="background1"/>
            <w:hideMark/>
          </w:tcPr>
          <w:p w:rsidR="004E7B5A" w:rsidRPr="00471FA1" w:rsidRDefault="004E7B5A" w:rsidP="00C6337C">
            <w:pPr>
              <w:jc w:val="center"/>
              <w:rPr>
                <w:rFonts w:asciiTheme="majorHAnsi" w:eastAsia="Times New Roman" w:hAnsiTheme="majorHAnsi" w:cs="Arial"/>
                <w:bCs w:val="0"/>
                <w:color w:val="000000"/>
                <w:lang w:eastAsia="es-ES"/>
              </w:rPr>
            </w:pPr>
            <w:r w:rsidRPr="00471FA1">
              <w:rPr>
                <w:rFonts w:asciiTheme="majorHAnsi" w:eastAsia="Times New Roman" w:hAnsiTheme="majorHAnsi" w:cs="Arial"/>
                <w:color w:val="000000"/>
                <w:lang w:eastAsia="es-ES"/>
              </w:rPr>
              <w:t>Primero</w:t>
            </w:r>
          </w:p>
        </w:tc>
        <w:tc>
          <w:tcPr>
            <w:tcW w:w="4000" w:type="dxa"/>
            <w:shd w:val="clear" w:color="auto" w:fill="FFFFFF" w:themeFill="background1"/>
            <w:hideMark/>
          </w:tcPr>
          <w:p w:rsidR="004E7B5A" w:rsidRPr="00471FA1" w:rsidRDefault="004E7B5A" w:rsidP="00C6337C">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Arial"/>
                <w:color w:val="000000"/>
                <w:lang w:eastAsia="es-ES"/>
              </w:rPr>
            </w:pPr>
            <w:r w:rsidRPr="00471FA1">
              <w:rPr>
                <w:rFonts w:asciiTheme="majorHAnsi" w:eastAsia="Times New Roman" w:hAnsiTheme="majorHAnsi" w:cs="Arial"/>
                <w:color w:val="000000"/>
                <w:lang w:eastAsia="es-ES"/>
              </w:rPr>
              <w:t>795</w:t>
            </w:r>
          </w:p>
        </w:tc>
      </w:tr>
      <w:tr w:rsidR="004E7B5A" w:rsidRPr="00471FA1" w:rsidTr="002312D3">
        <w:trPr>
          <w:trHeight w:val="330"/>
        </w:trPr>
        <w:tc>
          <w:tcPr>
            <w:cnfStyle w:val="001000000000" w:firstRow="0" w:lastRow="0" w:firstColumn="1" w:lastColumn="0" w:oddVBand="0" w:evenVBand="0" w:oddHBand="0" w:evenHBand="0" w:firstRowFirstColumn="0" w:firstRowLastColumn="0" w:lastRowFirstColumn="0" w:lastRowLastColumn="0"/>
            <w:tcW w:w="4120" w:type="dxa"/>
            <w:shd w:val="clear" w:color="auto" w:fill="D9D9D9" w:themeFill="background1" w:themeFillShade="D9"/>
            <w:hideMark/>
          </w:tcPr>
          <w:p w:rsidR="004E7B5A" w:rsidRPr="00471FA1" w:rsidRDefault="004E7B5A" w:rsidP="00C6337C">
            <w:pPr>
              <w:jc w:val="center"/>
              <w:rPr>
                <w:rFonts w:asciiTheme="majorHAnsi" w:eastAsia="Times New Roman" w:hAnsiTheme="majorHAnsi" w:cs="Arial"/>
                <w:b w:val="0"/>
                <w:bCs w:val="0"/>
                <w:color w:val="000000"/>
                <w:lang w:eastAsia="es-ES"/>
              </w:rPr>
            </w:pPr>
            <w:r w:rsidRPr="00471FA1">
              <w:rPr>
                <w:rFonts w:asciiTheme="majorHAnsi" w:eastAsia="Times New Roman" w:hAnsiTheme="majorHAnsi" w:cs="Arial"/>
                <w:color w:val="000000"/>
                <w:lang w:eastAsia="es-ES"/>
              </w:rPr>
              <w:t>TOTAL</w:t>
            </w:r>
          </w:p>
        </w:tc>
        <w:tc>
          <w:tcPr>
            <w:tcW w:w="4000" w:type="dxa"/>
            <w:shd w:val="clear" w:color="auto" w:fill="D9D9D9" w:themeFill="background1" w:themeFillShade="D9"/>
            <w:hideMark/>
          </w:tcPr>
          <w:p w:rsidR="004E7B5A" w:rsidRPr="00471FA1" w:rsidRDefault="004E7B5A" w:rsidP="00C6337C">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b/>
                <w:bCs/>
                <w:color w:val="000000"/>
                <w:lang w:eastAsia="es-ES"/>
              </w:rPr>
            </w:pPr>
            <w:r w:rsidRPr="00471FA1">
              <w:rPr>
                <w:rFonts w:asciiTheme="majorHAnsi" w:eastAsia="Times New Roman" w:hAnsiTheme="majorHAnsi" w:cs="Arial"/>
                <w:b/>
                <w:bCs/>
                <w:color w:val="000000"/>
                <w:lang w:eastAsia="es-ES"/>
              </w:rPr>
              <w:t>5759 Procesos.</w:t>
            </w:r>
          </w:p>
        </w:tc>
      </w:tr>
    </w:tbl>
    <w:p w:rsidR="00002015" w:rsidRDefault="00002015" w:rsidP="00002015">
      <w:pPr>
        <w:rPr>
          <w:lang w:eastAsia="es-ES"/>
        </w:rPr>
      </w:pPr>
    </w:p>
    <w:p w:rsidR="00A676EC" w:rsidRDefault="00A676EC" w:rsidP="00A676EC">
      <w:pPr>
        <w:pStyle w:val="Ttulo1"/>
        <w:jc w:val="center"/>
        <w:rPr>
          <w:rFonts w:eastAsia="Times New Roman"/>
          <w:b/>
          <w:color w:val="auto"/>
          <w:sz w:val="24"/>
          <w:szCs w:val="24"/>
          <w:lang w:eastAsia="es-ES"/>
        </w:rPr>
      </w:pPr>
      <w:r w:rsidRPr="00002015">
        <w:rPr>
          <w:rFonts w:eastAsia="Times New Roman"/>
          <w:b/>
          <w:color w:val="auto"/>
          <w:sz w:val="24"/>
          <w:szCs w:val="24"/>
          <w:lang w:eastAsia="es-ES"/>
        </w:rPr>
        <w:t>CUADRO ESTAD</w:t>
      </w:r>
      <w:r w:rsidR="00F83C09">
        <w:rPr>
          <w:rFonts w:eastAsia="Times New Roman"/>
          <w:b/>
          <w:color w:val="auto"/>
          <w:sz w:val="24"/>
          <w:szCs w:val="24"/>
          <w:lang w:eastAsia="es-ES"/>
        </w:rPr>
        <w:t>Í</w:t>
      </w:r>
      <w:r w:rsidRPr="00002015">
        <w:rPr>
          <w:rFonts w:eastAsia="Times New Roman"/>
          <w:b/>
          <w:color w:val="auto"/>
          <w:sz w:val="24"/>
          <w:szCs w:val="24"/>
          <w:lang w:eastAsia="es-ES"/>
        </w:rPr>
        <w:t>STICO REPARTO EN LOS JUZGADOS DE ORALIDAD EN FAMILIA ENTRE 1º DE MARZO y 06 AGOSTO DE 2015</w:t>
      </w:r>
    </w:p>
    <w:p w:rsidR="00A676EC" w:rsidRDefault="00A676EC" w:rsidP="00A676EC">
      <w:pPr>
        <w:pStyle w:val="Ttulo2"/>
        <w:jc w:val="center"/>
        <w:rPr>
          <w:b/>
          <w:color w:val="auto"/>
          <w:lang w:val="es-CO"/>
        </w:rPr>
      </w:pPr>
      <w:r w:rsidRPr="00002015">
        <w:rPr>
          <w:b/>
          <w:color w:val="auto"/>
          <w:lang w:val="es-CO"/>
        </w:rPr>
        <w:t>Reparto Mensual: Marzo a Julio</w:t>
      </w:r>
    </w:p>
    <w:tbl>
      <w:tblPr>
        <w:tblW w:w="8926"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8EA9DB"/>
        </w:tblBorders>
        <w:tblCellMar>
          <w:left w:w="70" w:type="dxa"/>
          <w:right w:w="70" w:type="dxa"/>
        </w:tblCellMar>
        <w:tblLook w:val="04A0" w:firstRow="1" w:lastRow="0" w:firstColumn="1" w:lastColumn="0" w:noHBand="0" w:noVBand="1"/>
      </w:tblPr>
      <w:tblGrid>
        <w:gridCol w:w="1540"/>
        <w:gridCol w:w="1000"/>
        <w:gridCol w:w="1320"/>
        <w:gridCol w:w="1320"/>
        <w:gridCol w:w="1320"/>
        <w:gridCol w:w="1320"/>
        <w:gridCol w:w="1106"/>
      </w:tblGrid>
      <w:tr w:rsidR="00A676EC" w:rsidRPr="00002015" w:rsidTr="00A928C7">
        <w:trPr>
          <w:trHeight w:val="285"/>
          <w:jc w:val="center"/>
        </w:trPr>
        <w:tc>
          <w:tcPr>
            <w:tcW w:w="154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Juzgado</w:t>
            </w:r>
          </w:p>
        </w:tc>
        <w:tc>
          <w:tcPr>
            <w:tcW w:w="100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Marzo</w:t>
            </w:r>
          </w:p>
        </w:tc>
        <w:tc>
          <w:tcPr>
            <w:tcW w:w="132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Abril</w:t>
            </w:r>
          </w:p>
        </w:tc>
        <w:tc>
          <w:tcPr>
            <w:tcW w:w="132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Mayo</w:t>
            </w:r>
          </w:p>
        </w:tc>
        <w:tc>
          <w:tcPr>
            <w:tcW w:w="132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Junio</w:t>
            </w:r>
          </w:p>
        </w:tc>
        <w:tc>
          <w:tcPr>
            <w:tcW w:w="132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Julio</w:t>
            </w:r>
          </w:p>
        </w:tc>
        <w:tc>
          <w:tcPr>
            <w:tcW w:w="1106" w:type="dxa"/>
            <w:shd w:val="clear" w:color="auto" w:fill="D9D9D9" w:themeFill="background1" w:themeFillShade="D9"/>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Total</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 </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249</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188</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199</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245</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244</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1125</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6 </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229</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215</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174</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176</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191</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985</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Juzgado 7</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189</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210</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241</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208</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234</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1082</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8 </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191</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271</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220</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225</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260</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1167</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10 </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290</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152</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223</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221</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291</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1177</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14 </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189</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212</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209</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222</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273</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1105</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15 </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172</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148</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222</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194</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219</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955</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19 </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198</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230</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224</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226</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281</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1159</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20 </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202</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199</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190</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202</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212</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1005</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Juzgado 23</w:t>
            </w:r>
          </w:p>
        </w:tc>
        <w:tc>
          <w:tcPr>
            <w:tcW w:w="100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202</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236</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238</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253</w:t>
            </w:r>
          </w:p>
        </w:tc>
        <w:tc>
          <w:tcPr>
            <w:tcW w:w="132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254</w:t>
            </w:r>
          </w:p>
        </w:tc>
        <w:tc>
          <w:tcPr>
            <w:tcW w:w="1106" w:type="dxa"/>
            <w:shd w:val="clear" w:color="auto" w:fill="FFFFFF" w:themeFill="background1"/>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1183</w:t>
            </w:r>
          </w:p>
        </w:tc>
      </w:tr>
      <w:tr w:rsidR="00A676EC" w:rsidRPr="00A70CAD" w:rsidTr="00A928C7">
        <w:trPr>
          <w:trHeight w:val="285"/>
          <w:jc w:val="center"/>
        </w:trPr>
        <w:tc>
          <w:tcPr>
            <w:tcW w:w="1540" w:type="dxa"/>
            <w:shd w:val="clear" w:color="auto" w:fill="D9D9D9" w:themeFill="background1" w:themeFillShade="D9"/>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TOTAL</w:t>
            </w:r>
          </w:p>
        </w:tc>
        <w:tc>
          <w:tcPr>
            <w:tcW w:w="1000" w:type="dxa"/>
            <w:shd w:val="clear" w:color="auto" w:fill="D9D9D9" w:themeFill="background1" w:themeFillShade="D9"/>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2111</w:t>
            </w:r>
          </w:p>
        </w:tc>
        <w:tc>
          <w:tcPr>
            <w:tcW w:w="1320" w:type="dxa"/>
            <w:shd w:val="clear" w:color="auto" w:fill="D9D9D9" w:themeFill="background1" w:themeFillShade="D9"/>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2061</w:t>
            </w:r>
          </w:p>
        </w:tc>
        <w:tc>
          <w:tcPr>
            <w:tcW w:w="1320" w:type="dxa"/>
            <w:shd w:val="clear" w:color="auto" w:fill="D9D9D9" w:themeFill="background1" w:themeFillShade="D9"/>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2140</w:t>
            </w:r>
          </w:p>
        </w:tc>
        <w:tc>
          <w:tcPr>
            <w:tcW w:w="1320" w:type="dxa"/>
            <w:shd w:val="clear" w:color="auto" w:fill="D9D9D9" w:themeFill="background1" w:themeFillShade="D9"/>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2172</w:t>
            </w:r>
          </w:p>
        </w:tc>
        <w:tc>
          <w:tcPr>
            <w:tcW w:w="1320" w:type="dxa"/>
            <w:shd w:val="clear" w:color="auto" w:fill="D9D9D9" w:themeFill="background1" w:themeFillShade="D9"/>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804</w:t>
            </w:r>
          </w:p>
        </w:tc>
        <w:tc>
          <w:tcPr>
            <w:tcW w:w="1106" w:type="dxa"/>
            <w:shd w:val="clear" w:color="auto" w:fill="D9D9D9" w:themeFill="background1" w:themeFillShade="D9"/>
            <w:vAlign w:val="bottom"/>
          </w:tcPr>
          <w:p w:rsidR="00A676EC" w:rsidRPr="00082F92" w:rsidRDefault="00A676EC" w:rsidP="00D41341">
            <w:pPr>
              <w:spacing w:after="0" w:line="240" w:lineRule="auto"/>
              <w:jc w:val="right"/>
              <w:rPr>
                <w:rFonts w:ascii="Arial" w:eastAsia="Times New Roman" w:hAnsi="Arial" w:cs="Arial"/>
                <w:color w:val="000000"/>
                <w:lang w:eastAsia="es-ES"/>
              </w:rPr>
            </w:pPr>
            <w:r w:rsidRPr="00082F92">
              <w:rPr>
                <w:rFonts w:ascii="Arial" w:eastAsia="Times New Roman" w:hAnsi="Arial" w:cs="Arial"/>
                <w:color w:val="000000"/>
                <w:lang w:eastAsia="es-ES"/>
              </w:rPr>
              <w:t>9288</w:t>
            </w:r>
          </w:p>
        </w:tc>
      </w:tr>
    </w:tbl>
    <w:p w:rsidR="00A676EC" w:rsidRDefault="00A676EC" w:rsidP="00A676EC">
      <w:pPr>
        <w:spacing w:after="0" w:line="360" w:lineRule="auto"/>
        <w:jc w:val="both"/>
        <w:rPr>
          <w:rFonts w:ascii="Arial" w:hAnsi="Arial" w:cs="Arial"/>
          <w:sz w:val="24"/>
          <w:szCs w:val="24"/>
          <w:lang w:val="es-CO"/>
        </w:rPr>
      </w:pPr>
    </w:p>
    <w:p w:rsidR="00A676EC" w:rsidRPr="00002015" w:rsidRDefault="00A676EC" w:rsidP="00846386">
      <w:pPr>
        <w:pStyle w:val="Ttulo2"/>
        <w:jc w:val="center"/>
        <w:rPr>
          <w:b/>
          <w:color w:val="auto"/>
          <w:lang w:val="es-CO"/>
        </w:rPr>
      </w:pPr>
      <w:r w:rsidRPr="00002015">
        <w:rPr>
          <w:b/>
          <w:color w:val="auto"/>
          <w:lang w:val="es-CO"/>
        </w:rPr>
        <w:lastRenderedPageBreak/>
        <w:t xml:space="preserve">Reparto Diario: Agosto 3 al 6 </w:t>
      </w:r>
    </w:p>
    <w:tbl>
      <w:tblPr>
        <w:tblW w:w="6340"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8EA9DB"/>
        </w:tblBorders>
        <w:tblCellMar>
          <w:left w:w="70" w:type="dxa"/>
          <w:right w:w="70" w:type="dxa"/>
        </w:tblCellMar>
        <w:tblLook w:val="04A0" w:firstRow="1" w:lastRow="0" w:firstColumn="1" w:lastColumn="0" w:noHBand="0" w:noVBand="1"/>
      </w:tblPr>
      <w:tblGrid>
        <w:gridCol w:w="1540"/>
        <w:gridCol w:w="960"/>
        <w:gridCol w:w="960"/>
        <w:gridCol w:w="960"/>
        <w:gridCol w:w="960"/>
        <w:gridCol w:w="960"/>
      </w:tblGrid>
      <w:tr w:rsidR="00A676EC" w:rsidRPr="00002015" w:rsidTr="00A928C7">
        <w:trPr>
          <w:trHeight w:val="285"/>
          <w:jc w:val="center"/>
        </w:trPr>
        <w:tc>
          <w:tcPr>
            <w:tcW w:w="154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Juzgado</w:t>
            </w:r>
          </w:p>
        </w:tc>
        <w:tc>
          <w:tcPr>
            <w:tcW w:w="96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ago-03</w:t>
            </w:r>
          </w:p>
        </w:tc>
        <w:tc>
          <w:tcPr>
            <w:tcW w:w="96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ago-04</w:t>
            </w:r>
          </w:p>
        </w:tc>
        <w:tc>
          <w:tcPr>
            <w:tcW w:w="96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ago-05</w:t>
            </w:r>
          </w:p>
        </w:tc>
        <w:tc>
          <w:tcPr>
            <w:tcW w:w="96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ago-06</w:t>
            </w:r>
          </w:p>
        </w:tc>
        <w:tc>
          <w:tcPr>
            <w:tcW w:w="960" w:type="dxa"/>
            <w:shd w:val="clear" w:color="auto" w:fill="D9D9D9" w:themeFill="background1" w:themeFillShade="D9"/>
            <w:noWrap/>
            <w:vAlign w:val="bottom"/>
            <w:hideMark/>
          </w:tcPr>
          <w:p w:rsidR="00A676EC" w:rsidRPr="00002015" w:rsidRDefault="00A676EC" w:rsidP="00D41341">
            <w:pPr>
              <w:spacing w:after="0" w:line="240" w:lineRule="auto"/>
              <w:jc w:val="center"/>
              <w:rPr>
                <w:rFonts w:ascii="Arial" w:eastAsia="Times New Roman" w:hAnsi="Arial" w:cs="Arial"/>
                <w:b/>
                <w:bCs/>
                <w:lang w:eastAsia="es-ES"/>
              </w:rPr>
            </w:pPr>
            <w:r w:rsidRPr="00002015">
              <w:rPr>
                <w:rFonts w:ascii="Arial" w:eastAsia="Times New Roman" w:hAnsi="Arial" w:cs="Arial"/>
                <w:b/>
                <w:bCs/>
                <w:lang w:eastAsia="es-ES"/>
              </w:rPr>
              <w:t>TOTAL</w:t>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 </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11</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10</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13</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13</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47</w:t>
            </w:r>
            <w:r>
              <w:rPr>
                <w:rFonts w:ascii="Arial" w:eastAsia="Times New Roman" w:hAnsi="Arial" w:cs="Arial"/>
                <w:color w:val="000000"/>
                <w:lang w:eastAsia="es-ES"/>
              </w:rPr>
              <w:fldChar w:fldCharType="end"/>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6 </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6</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5</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10</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6</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27</w:t>
            </w:r>
            <w:r>
              <w:rPr>
                <w:rFonts w:ascii="Arial" w:eastAsia="Times New Roman" w:hAnsi="Arial" w:cs="Arial"/>
                <w:color w:val="000000"/>
                <w:lang w:eastAsia="es-ES"/>
              </w:rPr>
              <w:fldChar w:fldCharType="end"/>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Juzgado 7</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15</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11</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11</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8</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45</w:t>
            </w:r>
            <w:r>
              <w:rPr>
                <w:rFonts w:ascii="Arial" w:eastAsia="Times New Roman" w:hAnsi="Arial" w:cs="Arial"/>
                <w:color w:val="000000"/>
                <w:lang w:eastAsia="es-ES"/>
              </w:rPr>
              <w:fldChar w:fldCharType="end"/>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8 </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10</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9</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7</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9</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35</w:t>
            </w:r>
            <w:r>
              <w:rPr>
                <w:rFonts w:ascii="Arial" w:eastAsia="Times New Roman" w:hAnsi="Arial" w:cs="Arial"/>
                <w:color w:val="000000"/>
                <w:lang w:eastAsia="es-ES"/>
              </w:rPr>
              <w:fldChar w:fldCharType="end"/>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10 </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7</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14</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16</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11</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48</w:t>
            </w:r>
            <w:r>
              <w:rPr>
                <w:rFonts w:ascii="Arial" w:eastAsia="Times New Roman" w:hAnsi="Arial" w:cs="Arial"/>
                <w:color w:val="000000"/>
                <w:lang w:eastAsia="es-ES"/>
              </w:rPr>
              <w:fldChar w:fldCharType="end"/>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14 </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11</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10</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14</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9</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44</w:t>
            </w:r>
            <w:r>
              <w:rPr>
                <w:rFonts w:ascii="Arial" w:eastAsia="Times New Roman" w:hAnsi="Arial" w:cs="Arial"/>
                <w:color w:val="000000"/>
                <w:lang w:eastAsia="es-ES"/>
              </w:rPr>
              <w:fldChar w:fldCharType="end"/>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15 </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10</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5</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11</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4</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30</w:t>
            </w:r>
            <w:r>
              <w:rPr>
                <w:rFonts w:ascii="Arial" w:eastAsia="Times New Roman" w:hAnsi="Arial" w:cs="Arial"/>
                <w:color w:val="000000"/>
                <w:lang w:eastAsia="es-ES"/>
              </w:rPr>
              <w:fldChar w:fldCharType="end"/>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19 </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7</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4</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9</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13</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33</w:t>
            </w:r>
            <w:r>
              <w:rPr>
                <w:rFonts w:ascii="Arial" w:eastAsia="Times New Roman" w:hAnsi="Arial" w:cs="Arial"/>
                <w:color w:val="000000"/>
                <w:lang w:eastAsia="es-ES"/>
              </w:rPr>
              <w:fldChar w:fldCharType="end"/>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 xml:space="preserve">Juzgado 20 </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10</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7</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8</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12</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37</w:t>
            </w:r>
            <w:r>
              <w:rPr>
                <w:rFonts w:ascii="Arial" w:eastAsia="Times New Roman" w:hAnsi="Arial" w:cs="Arial"/>
                <w:color w:val="000000"/>
                <w:lang w:eastAsia="es-ES"/>
              </w:rPr>
              <w:fldChar w:fldCharType="end"/>
            </w:r>
          </w:p>
        </w:tc>
      </w:tr>
      <w:tr w:rsidR="00A676EC" w:rsidRPr="00A70CAD" w:rsidTr="00A928C7">
        <w:trPr>
          <w:trHeight w:val="285"/>
          <w:jc w:val="center"/>
        </w:trPr>
        <w:tc>
          <w:tcPr>
            <w:tcW w:w="1540" w:type="dxa"/>
            <w:shd w:val="clear" w:color="auto" w:fill="FFFFFF" w:themeFill="background1"/>
            <w:noWrap/>
            <w:vAlign w:val="bottom"/>
            <w:hideMark/>
          </w:tcPr>
          <w:p w:rsidR="00A676EC" w:rsidRPr="00A70CAD" w:rsidRDefault="00A676EC" w:rsidP="00D41341">
            <w:pPr>
              <w:spacing w:after="0" w:line="240" w:lineRule="auto"/>
              <w:rPr>
                <w:rFonts w:ascii="Arial" w:eastAsia="Times New Roman" w:hAnsi="Arial" w:cs="Arial"/>
                <w:color w:val="000000"/>
                <w:lang w:eastAsia="es-ES"/>
              </w:rPr>
            </w:pPr>
            <w:r w:rsidRPr="00A70CAD">
              <w:rPr>
                <w:rFonts w:ascii="Arial" w:eastAsia="Times New Roman" w:hAnsi="Arial" w:cs="Arial"/>
                <w:color w:val="000000"/>
                <w:lang w:eastAsia="es-ES"/>
              </w:rPr>
              <w:t>Juzgado 23</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5</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8</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13</w:t>
            </w:r>
          </w:p>
        </w:tc>
        <w:tc>
          <w:tcPr>
            <w:tcW w:w="960" w:type="dxa"/>
            <w:shd w:val="clear" w:color="auto" w:fill="FFFFFF" w:themeFill="background1"/>
            <w:noWrap/>
            <w:vAlign w:val="bottom"/>
            <w:hideMark/>
          </w:tcPr>
          <w:p w:rsidR="00A676EC" w:rsidRPr="00A70CAD" w:rsidRDefault="00A676EC" w:rsidP="00D41341">
            <w:pPr>
              <w:spacing w:after="0" w:line="240" w:lineRule="auto"/>
              <w:jc w:val="right"/>
              <w:rPr>
                <w:rFonts w:ascii="Arial" w:eastAsia="Times New Roman" w:hAnsi="Arial" w:cs="Arial"/>
                <w:color w:val="000000"/>
                <w:lang w:eastAsia="es-ES"/>
              </w:rPr>
            </w:pPr>
            <w:r w:rsidRPr="00A70CAD">
              <w:rPr>
                <w:rFonts w:ascii="Arial" w:eastAsia="Times New Roman" w:hAnsi="Arial" w:cs="Arial"/>
                <w:color w:val="000000"/>
                <w:lang w:eastAsia="es-ES"/>
              </w:rPr>
              <w:t>13</w:t>
            </w:r>
          </w:p>
        </w:tc>
        <w:tc>
          <w:tcPr>
            <w:tcW w:w="960" w:type="dxa"/>
            <w:shd w:val="clear" w:color="auto" w:fill="FFFFFF" w:themeFill="background1"/>
            <w:noWrap/>
            <w:vAlign w:val="bottom"/>
          </w:tcPr>
          <w:p w:rsidR="00A676EC" w:rsidRPr="00A70CAD" w:rsidRDefault="00E60E15" w:rsidP="00D41341">
            <w:pPr>
              <w:spacing w:after="0" w:line="240" w:lineRule="auto"/>
              <w:jc w:val="right"/>
              <w:rPr>
                <w:rFonts w:ascii="Arial" w:eastAsia="Times New Roman" w:hAnsi="Arial" w:cs="Arial"/>
                <w:color w:val="000000"/>
                <w:lang w:eastAsia="es-ES"/>
              </w:rPr>
            </w:pPr>
            <w:r>
              <w:rPr>
                <w:rFonts w:ascii="Arial" w:eastAsia="Times New Roman" w:hAnsi="Arial" w:cs="Arial"/>
                <w:color w:val="000000"/>
                <w:lang w:eastAsia="es-ES"/>
              </w:rPr>
              <w:fldChar w:fldCharType="begin"/>
            </w:r>
            <w:r w:rsidR="00A676EC">
              <w:rPr>
                <w:rFonts w:ascii="Arial" w:eastAsia="Times New Roman" w:hAnsi="Arial" w:cs="Arial"/>
                <w:color w:val="000000"/>
                <w:lang w:eastAsia="es-ES"/>
              </w:rPr>
              <w:instrText xml:space="preserve"> =SUM(LEFT) </w:instrText>
            </w:r>
            <w:r>
              <w:rPr>
                <w:rFonts w:ascii="Arial" w:eastAsia="Times New Roman" w:hAnsi="Arial" w:cs="Arial"/>
                <w:color w:val="000000"/>
                <w:lang w:eastAsia="es-ES"/>
              </w:rPr>
              <w:fldChar w:fldCharType="separate"/>
            </w:r>
            <w:r w:rsidR="00A676EC">
              <w:rPr>
                <w:rFonts w:ascii="Arial" w:eastAsia="Times New Roman" w:hAnsi="Arial" w:cs="Arial"/>
                <w:noProof/>
                <w:color w:val="000000"/>
                <w:lang w:eastAsia="es-ES"/>
              </w:rPr>
              <w:t>39</w:t>
            </w:r>
            <w:r>
              <w:rPr>
                <w:rFonts w:ascii="Arial" w:eastAsia="Times New Roman" w:hAnsi="Arial" w:cs="Arial"/>
                <w:color w:val="000000"/>
                <w:lang w:eastAsia="es-ES"/>
              </w:rPr>
              <w:fldChar w:fldCharType="end"/>
            </w:r>
          </w:p>
        </w:tc>
      </w:tr>
      <w:tr w:rsidR="00A676EC" w:rsidRPr="00A928C7" w:rsidTr="00560F5D">
        <w:trPr>
          <w:trHeight w:val="285"/>
          <w:jc w:val="center"/>
        </w:trPr>
        <w:tc>
          <w:tcPr>
            <w:tcW w:w="1540" w:type="dxa"/>
            <w:shd w:val="clear" w:color="auto" w:fill="D9D9D9" w:themeFill="background1" w:themeFillShade="D9"/>
            <w:noWrap/>
            <w:vAlign w:val="bottom"/>
            <w:hideMark/>
          </w:tcPr>
          <w:p w:rsidR="00A676EC" w:rsidRPr="00A928C7" w:rsidRDefault="00A676EC" w:rsidP="00D41341">
            <w:pPr>
              <w:spacing w:after="0" w:line="240" w:lineRule="auto"/>
              <w:rPr>
                <w:rFonts w:ascii="Arial" w:eastAsia="Times New Roman" w:hAnsi="Arial" w:cs="Arial"/>
                <w:b/>
                <w:color w:val="000000"/>
                <w:lang w:eastAsia="es-ES"/>
              </w:rPr>
            </w:pPr>
            <w:r w:rsidRPr="00A928C7">
              <w:rPr>
                <w:rFonts w:ascii="Arial" w:eastAsia="Times New Roman" w:hAnsi="Arial" w:cs="Arial"/>
                <w:b/>
                <w:color w:val="000000"/>
                <w:lang w:eastAsia="es-ES"/>
              </w:rPr>
              <w:t>TOTAL</w:t>
            </w:r>
          </w:p>
        </w:tc>
        <w:tc>
          <w:tcPr>
            <w:tcW w:w="960" w:type="dxa"/>
            <w:shd w:val="clear" w:color="auto" w:fill="D9D9D9" w:themeFill="background1" w:themeFillShade="D9"/>
            <w:noWrap/>
            <w:vAlign w:val="bottom"/>
            <w:hideMark/>
          </w:tcPr>
          <w:p w:rsidR="00A676EC" w:rsidRPr="00A928C7" w:rsidRDefault="00A676EC" w:rsidP="00D41341">
            <w:pPr>
              <w:spacing w:after="0" w:line="240" w:lineRule="auto"/>
              <w:jc w:val="right"/>
              <w:rPr>
                <w:rFonts w:ascii="Arial" w:eastAsia="Times New Roman" w:hAnsi="Arial" w:cs="Arial"/>
                <w:b/>
                <w:color w:val="000000"/>
                <w:lang w:eastAsia="es-ES"/>
              </w:rPr>
            </w:pPr>
            <w:r w:rsidRPr="00A928C7">
              <w:rPr>
                <w:rFonts w:ascii="Arial" w:eastAsia="Times New Roman" w:hAnsi="Arial" w:cs="Arial"/>
                <w:b/>
                <w:color w:val="000000"/>
                <w:lang w:eastAsia="es-ES"/>
              </w:rPr>
              <w:t>92</w:t>
            </w:r>
          </w:p>
        </w:tc>
        <w:tc>
          <w:tcPr>
            <w:tcW w:w="960" w:type="dxa"/>
            <w:shd w:val="clear" w:color="auto" w:fill="D9D9D9" w:themeFill="background1" w:themeFillShade="D9"/>
            <w:noWrap/>
            <w:vAlign w:val="bottom"/>
            <w:hideMark/>
          </w:tcPr>
          <w:p w:rsidR="00A676EC" w:rsidRPr="00A928C7" w:rsidRDefault="00A676EC" w:rsidP="00D41341">
            <w:pPr>
              <w:spacing w:after="0" w:line="240" w:lineRule="auto"/>
              <w:jc w:val="right"/>
              <w:rPr>
                <w:rFonts w:ascii="Arial" w:eastAsia="Times New Roman" w:hAnsi="Arial" w:cs="Arial"/>
                <w:b/>
                <w:color w:val="000000"/>
                <w:lang w:eastAsia="es-ES"/>
              </w:rPr>
            </w:pPr>
            <w:r w:rsidRPr="00A928C7">
              <w:rPr>
                <w:rFonts w:ascii="Arial" w:eastAsia="Times New Roman" w:hAnsi="Arial" w:cs="Arial"/>
                <w:b/>
                <w:color w:val="000000"/>
                <w:lang w:eastAsia="es-ES"/>
              </w:rPr>
              <w:t>83</w:t>
            </w:r>
          </w:p>
        </w:tc>
        <w:tc>
          <w:tcPr>
            <w:tcW w:w="960" w:type="dxa"/>
            <w:shd w:val="clear" w:color="auto" w:fill="D9D9D9" w:themeFill="background1" w:themeFillShade="D9"/>
            <w:noWrap/>
            <w:vAlign w:val="bottom"/>
            <w:hideMark/>
          </w:tcPr>
          <w:p w:rsidR="00A676EC" w:rsidRPr="00A928C7" w:rsidRDefault="00A676EC" w:rsidP="00D41341">
            <w:pPr>
              <w:spacing w:after="0" w:line="240" w:lineRule="auto"/>
              <w:jc w:val="right"/>
              <w:rPr>
                <w:rFonts w:ascii="Arial" w:eastAsia="Times New Roman" w:hAnsi="Arial" w:cs="Arial"/>
                <w:b/>
                <w:color w:val="000000"/>
                <w:lang w:eastAsia="es-ES"/>
              </w:rPr>
            </w:pPr>
            <w:r w:rsidRPr="00A928C7">
              <w:rPr>
                <w:rFonts w:ascii="Arial" w:eastAsia="Times New Roman" w:hAnsi="Arial" w:cs="Arial"/>
                <w:b/>
                <w:color w:val="000000"/>
                <w:lang w:eastAsia="es-ES"/>
              </w:rPr>
              <w:t>112</w:t>
            </w:r>
          </w:p>
        </w:tc>
        <w:tc>
          <w:tcPr>
            <w:tcW w:w="960" w:type="dxa"/>
            <w:shd w:val="clear" w:color="auto" w:fill="D9D9D9" w:themeFill="background1" w:themeFillShade="D9"/>
            <w:noWrap/>
            <w:vAlign w:val="bottom"/>
            <w:hideMark/>
          </w:tcPr>
          <w:p w:rsidR="00A676EC" w:rsidRPr="00A928C7" w:rsidRDefault="00A676EC" w:rsidP="00D41341">
            <w:pPr>
              <w:spacing w:after="0" w:line="240" w:lineRule="auto"/>
              <w:jc w:val="right"/>
              <w:rPr>
                <w:rFonts w:ascii="Arial" w:eastAsia="Times New Roman" w:hAnsi="Arial" w:cs="Arial"/>
                <w:b/>
                <w:color w:val="000000"/>
                <w:lang w:eastAsia="es-ES"/>
              </w:rPr>
            </w:pPr>
            <w:r w:rsidRPr="00A928C7">
              <w:rPr>
                <w:rFonts w:ascii="Arial" w:eastAsia="Times New Roman" w:hAnsi="Arial" w:cs="Arial"/>
                <w:b/>
                <w:color w:val="000000"/>
                <w:lang w:eastAsia="es-ES"/>
              </w:rPr>
              <w:t>98</w:t>
            </w:r>
          </w:p>
        </w:tc>
        <w:tc>
          <w:tcPr>
            <w:tcW w:w="960" w:type="dxa"/>
            <w:shd w:val="clear" w:color="auto" w:fill="D9D9D9" w:themeFill="background1" w:themeFillShade="D9"/>
            <w:noWrap/>
            <w:vAlign w:val="bottom"/>
          </w:tcPr>
          <w:p w:rsidR="00A676EC" w:rsidRPr="00A928C7" w:rsidRDefault="00E60E15" w:rsidP="00D41341">
            <w:pPr>
              <w:spacing w:after="0" w:line="240" w:lineRule="auto"/>
              <w:jc w:val="right"/>
              <w:rPr>
                <w:rFonts w:ascii="Arial" w:eastAsia="Times New Roman" w:hAnsi="Arial" w:cs="Arial"/>
                <w:b/>
                <w:color w:val="000000"/>
                <w:lang w:eastAsia="es-ES"/>
              </w:rPr>
            </w:pPr>
            <w:r w:rsidRPr="00A928C7">
              <w:rPr>
                <w:rFonts w:ascii="Arial" w:eastAsia="Times New Roman" w:hAnsi="Arial" w:cs="Arial"/>
                <w:b/>
                <w:color w:val="000000"/>
                <w:lang w:eastAsia="es-ES"/>
              </w:rPr>
              <w:fldChar w:fldCharType="begin"/>
            </w:r>
            <w:r w:rsidR="00A676EC" w:rsidRPr="00A928C7">
              <w:rPr>
                <w:rFonts w:ascii="Arial" w:eastAsia="Times New Roman" w:hAnsi="Arial" w:cs="Arial"/>
                <w:b/>
                <w:color w:val="000000"/>
                <w:lang w:eastAsia="es-ES"/>
              </w:rPr>
              <w:instrText xml:space="preserve"> =SUM(LEFT) </w:instrText>
            </w:r>
            <w:r w:rsidRPr="00A928C7">
              <w:rPr>
                <w:rFonts w:ascii="Arial" w:eastAsia="Times New Roman" w:hAnsi="Arial" w:cs="Arial"/>
                <w:b/>
                <w:color w:val="000000"/>
                <w:lang w:eastAsia="es-ES"/>
              </w:rPr>
              <w:fldChar w:fldCharType="separate"/>
            </w:r>
            <w:r w:rsidR="00A676EC" w:rsidRPr="00A928C7">
              <w:rPr>
                <w:rFonts w:ascii="Arial" w:eastAsia="Times New Roman" w:hAnsi="Arial" w:cs="Arial"/>
                <w:b/>
                <w:noProof/>
                <w:color w:val="000000"/>
                <w:lang w:eastAsia="es-ES"/>
              </w:rPr>
              <w:t>385</w:t>
            </w:r>
            <w:r w:rsidRPr="00A928C7">
              <w:rPr>
                <w:rFonts w:ascii="Arial" w:eastAsia="Times New Roman" w:hAnsi="Arial" w:cs="Arial"/>
                <w:b/>
                <w:color w:val="000000"/>
                <w:lang w:eastAsia="es-ES"/>
              </w:rPr>
              <w:fldChar w:fldCharType="end"/>
            </w:r>
          </w:p>
        </w:tc>
      </w:tr>
    </w:tbl>
    <w:tbl>
      <w:tblPr>
        <w:tblStyle w:val="Tablaconcuadrcula"/>
        <w:tblW w:w="0" w:type="auto"/>
        <w:tblInd w:w="-38" w:type="dxa"/>
        <w:tblCellMar>
          <w:left w:w="70" w:type="dxa"/>
          <w:right w:w="70" w:type="dxa"/>
        </w:tblCellMar>
        <w:tblLook w:val="04A0" w:firstRow="1" w:lastRow="0" w:firstColumn="1" w:lastColumn="0" w:noHBand="0" w:noVBand="1"/>
      </w:tblPr>
      <w:tblGrid>
        <w:gridCol w:w="8734"/>
      </w:tblGrid>
      <w:tr w:rsidR="00B7013E" w:rsidTr="00B7013E">
        <w:tc>
          <w:tcPr>
            <w:tcW w:w="8734" w:type="dxa"/>
            <w:tcBorders>
              <w:top w:val="nil"/>
              <w:left w:val="nil"/>
              <w:right w:val="nil"/>
            </w:tcBorders>
          </w:tcPr>
          <w:p w:rsidR="00C811AB" w:rsidRDefault="00EB7A1D" w:rsidP="00B7013E">
            <w:pPr>
              <w:spacing w:line="360" w:lineRule="auto"/>
              <w:jc w:val="both"/>
              <w:rPr>
                <w:rFonts w:ascii="Arial" w:hAnsi="Arial" w:cs="Arial"/>
                <w:sz w:val="24"/>
                <w:szCs w:val="24"/>
              </w:rPr>
            </w:pPr>
            <w:r>
              <w:rPr>
                <w:noProof/>
                <w:lang w:val="es-CO" w:eastAsia="es-CO"/>
              </w:rPr>
              <w:drawing>
                <wp:anchor distT="0" distB="0" distL="114300" distR="114300" simplePos="0" relativeHeight="251676672" behindDoc="0" locked="0" layoutInCell="1" allowOverlap="1" wp14:anchorId="4F7EF570" wp14:editId="549AB236">
                  <wp:simplePos x="0" y="0"/>
                  <wp:positionH relativeFrom="column">
                    <wp:posOffset>-26670</wp:posOffset>
                  </wp:positionH>
                  <wp:positionV relativeFrom="paragraph">
                    <wp:posOffset>344170</wp:posOffset>
                  </wp:positionV>
                  <wp:extent cx="5431790" cy="3547745"/>
                  <wp:effectExtent l="0" t="0" r="16510" b="14605"/>
                  <wp:wrapNone/>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rsidR="00C811AB" w:rsidRDefault="00C811AB" w:rsidP="00B7013E">
            <w:pPr>
              <w:spacing w:line="360" w:lineRule="auto"/>
              <w:jc w:val="both"/>
              <w:rPr>
                <w:rFonts w:ascii="Arial" w:hAnsi="Arial" w:cs="Arial"/>
                <w:sz w:val="24"/>
                <w:szCs w:val="24"/>
              </w:rPr>
            </w:pPr>
          </w:p>
          <w:p w:rsidR="00C811AB" w:rsidRDefault="00C811AB" w:rsidP="00B7013E">
            <w:pPr>
              <w:spacing w:line="360" w:lineRule="auto"/>
              <w:jc w:val="both"/>
              <w:rPr>
                <w:rFonts w:ascii="Arial" w:hAnsi="Arial" w:cs="Arial"/>
                <w:sz w:val="24"/>
                <w:szCs w:val="24"/>
              </w:rPr>
            </w:pPr>
          </w:p>
          <w:p w:rsidR="00C811AB" w:rsidRDefault="00C811AB" w:rsidP="00B7013E">
            <w:pPr>
              <w:spacing w:line="360" w:lineRule="auto"/>
              <w:jc w:val="both"/>
              <w:rPr>
                <w:rFonts w:ascii="Arial" w:hAnsi="Arial" w:cs="Arial"/>
                <w:sz w:val="24"/>
                <w:szCs w:val="24"/>
              </w:rPr>
            </w:pPr>
          </w:p>
          <w:p w:rsidR="00B7013E" w:rsidRDefault="00B7013E" w:rsidP="00B7013E">
            <w:pPr>
              <w:spacing w:line="360" w:lineRule="auto"/>
              <w:jc w:val="both"/>
              <w:rPr>
                <w:rFonts w:ascii="Arial" w:hAnsi="Arial" w:cs="Arial"/>
                <w:sz w:val="24"/>
                <w:szCs w:val="24"/>
              </w:rPr>
            </w:pPr>
            <w:r>
              <w:rPr>
                <w:rFonts w:ascii="Arial" w:hAnsi="Arial" w:cs="Arial"/>
                <w:noProof/>
                <w:sz w:val="24"/>
                <w:szCs w:val="24"/>
                <w:lang w:val="es-CO" w:eastAsia="es-CO"/>
              </w:rPr>
              <mc:AlternateContent>
                <mc:Choice Requires="wps">
                  <w:drawing>
                    <wp:anchor distT="0" distB="0" distL="114300" distR="114300" simplePos="0" relativeHeight="251675648" behindDoc="0" locked="0" layoutInCell="1" allowOverlap="1" wp14:anchorId="12B01E97" wp14:editId="099231CB">
                      <wp:simplePos x="0" y="0"/>
                      <wp:positionH relativeFrom="column">
                        <wp:posOffset>5097780</wp:posOffset>
                      </wp:positionH>
                      <wp:positionV relativeFrom="paragraph">
                        <wp:posOffset>2068830</wp:posOffset>
                      </wp:positionV>
                      <wp:extent cx="546100" cy="361950"/>
                      <wp:effectExtent l="0" t="0" r="0" b="0"/>
                      <wp:wrapNone/>
                      <wp:docPr id="25"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10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74E8" w:rsidRPr="00E76993" w:rsidRDefault="00E974E8" w:rsidP="00B7013E">
                                  <w:pPr>
                                    <w:rPr>
                                      <w:b/>
                                      <w:color w:val="FF0000"/>
                                      <w:sz w:val="20"/>
                                      <w:szCs w:val="20"/>
                                      <w:lang w:val="es-CO"/>
                                    </w:rPr>
                                  </w:pPr>
                                  <w:r w:rsidRPr="00E76993">
                                    <w:rPr>
                                      <w:b/>
                                      <w:color w:val="FF0000"/>
                                      <w:sz w:val="20"/>
                                      <w:szCs w:val="20"/>
                                      <w:lang w:val="es-CO"/>
                                    </w:rPr>
                                    <w:t>478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1" o:spid="_x0000_s1028" type="#_x0000_t202" style="position:absolute;left:0;text-align:left;margin-left:401.4pt;margin-top:162.9pt;width:43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" filled="f" stroked="f" strokeweight=".5pt">
                      <v:path arrowok="t"/>
                      <v:textbox>
                        <w:txbxContent>
                          <w:p w:rsidR="00E974E8" w:rsidRPr="00E76993" w:rsidRDefault="00E974E8" w:rsidP="00B7013E">
                            <w:pPr>
                              <w:rPr>
                                <w:b/>
                                <w:color w:val="FF0000"/>
                                <w:sz w:val="20"/>
                                <w:szCs w:val="20"/>
                                <w:lang w:val="es-CO"/>
                              </w:rPr>
                            </w:pPr>
                            <w:r w:rsidRPr="00E76993">
                              <w:rPr>
                                <w:b/>
                                <w:color w:val="FF0000"/>
                                <w:sz w:val="20"/>
                                <w:szCs w:val="20"/>
                                <w:lang w:val="es-CO"/>
                              </w:rPr>
                              <w:t>478</w:t>
                            </w:r>
                          </w:p>
                        </w:txbxContent>
                      </v:textbox>
                    </v:shape>
                  </w:pict>
                </mc:Fallback>
              </mc:AlternateContent>
            </w:r>
          </w:p>
          <w:p w:rsidR="00C811AB" w:rsidRDefault="00C811AB" w:rsidP="00B7013E">
            <w:pPr>
              <w:spacing w:line="360" w:lineRule="auto"/>
              <w:jc w:val="both"/>
              <w:rPr>
                <w:rFonts w:ascii="Arial" w:hAnsi="Arial" w:cs="Arial"/>
                <w:sz w:val="24"/>
                <w:szCs w:val="24"/>
              </w:rPr>
            </w:pPr>
          </w:p>
          <w:p w:rsidR="00C811AB" w:rsidRDefault="00C811AB" w:rsidP="00B7013E">
            <w:pPr>
              <w:spacing w:line="360" w:lineRule="auto"/>
              <w:jc w:val="both"/>
              <w:rPr>
                <w:rFonts w:ascii="Arial" w:hAnsi="Arial" w:cs="Arial"/>
                <w:sz w:val="24"/>
                <w:szCs w:val="24"/>
              </w:rPr>
            </w:pPr>
          </w:p>
          <w:p w:rsidR="00C811AB" w:rsidRDefault="00C811AB" w:rsidP="00B7013E">
            <w:pPr>
              <w:spacing w:line="360" w:lineRule="auto"/>
              <w:jc w:val="both"/>
              <w:rPr>
                <w:rFonts w:ascii="Arial" w:hAnsi="Arial" w:cs="Arial"/>
                <w:sz w:val="24"/>
                <w:szCs w:val="24"/>
              </w:rPr>
            </w:pPr>
          </w:p>
          <w:p w:rsidR="00C811AB" w:rsidRDefault="00C811AB" w:rsidP="00B7013E">
            <w:pPr>
              <w:spacing w:line="360" w:lineRule="auto"/>
              <w:jc w:val="both"/>
              <w:rPr>
                <w:rFonts w:ascii="Arial" w:hAnsi="Arial" w:cs="Arial"/>
                <w:sz w:val="24"/>
                <w:szCs w:val="24"/>
              </w:rPr>
            </w:pPr>
          </w:p>
          <w:p w:rsidR="00C811AB" w:rsidRDefault="00C811AB" w:rsidP="00B7013E">
            <w:pPr>
              <w:spacing w:line="360" w:lineRule="auto"/>
              <w:jc w:val="both"/>
              <w:rPr>
                <w:rFonts w:ascii="Arial" w:hAnsi="Arial" w:cs="Arial"/>
                <w:sz w:val="24"/>
                <w:szCs w:val="24"/>
              </w:rPr>
            </w:pPr>
          </w:p>
          <w:p w:rsidR="00C811AB" w:rsidRDefault="00C811AB" w:rsidP="00B7013E">
            <w:pPr>
              <w:spacing w:line="360" w:lineRule="auto"/>
              <w:jc w:val="both"/>
              <w:rPr>
                <w:rFonts w:ascii="Arial" w:hAnsi="Arial" w:cs="Arial"/>
                <w:sz w:val="24"/>
                <w:szCs w:val="24"/>
              </w:rPr>
            </w:pPr>
          </w:p>
        </w:tc>
      </w:tr>
      <w:tr w:rsidR="00B7013E" w:rsidTr="00B7013E">
        <w:tblPrEx>
          <w:tblCellMar>
            <w:left w:w="108" w:type="dxa"/>
            <w:right w:w="108" w:type="dxa"/>
          </w:tblCellMar>
        </w:tblPrEx>
        <w:tc>
          <w:tcPr>
            <w:tcW w:w="8734" w:type="dxa"/>
          </w:tcPr>
          <w:p w:rsidR="00B7013E" w:rsidRPr="00002015" w:rsidRDefault="00B7013E" w:rsidP="00B7013E">
            <w:pPr>
              <w:jc w:val="both"/>
              <w:rPr>
                <w:rFonts w:ascii="Book Antiqua" w:hAnsi="Book Antiqua"/>
                <w:sz w:val="18"/>
                <w:szCs w:val="18"/>
              </w:rPr>
            </w:pPr>
            <w:r w:rsidRPr="00002015">
              <w:rPr>
                <w:rFonts w:ascii="Book Antiqua" w:hAnsi="Book Antiqua"/>
                <w:sz w:val="18"/>
                <w:szCs w:val="18"/>
              </w:rPr>
              <w:t>Análisis:</w:t>
            </w:r>
            <w:r w:rsidRPr="00631A6F">
              <w:rPr>
                <w:rFonts w:ascii="Book Antiqua" w:hAnsi="Book Antiqua"/>
                <w:sz w:val="18"/>
                <w:szCs w:val="18"/>
              </w:rPr>
              <w:t xml:space="preserve"> En los Juzgados </w:t>
            </w:r>
            <w:r>
              <w:rPr>
                <w:rFonts w:ascii="Book Antiqua" w:hAnsi="Book Antiqua"/>
                <w:sz w:val="18"/>
                <w:szCs w:val="18"/>
              </w:rPr>
              <w:t xml:space="preserve">de Familia de oralidad en Bogotá de </w:t>
            </w:r>
            <w:r w:rsidRPr="00631A6F">
              <w:rPr>
                <w:rFonts w:ascii="Book Antiqua" w:hAnsi="Book Antiqua"/>
                <w:sz w:val="18"/>
                <w:szCs w:val="18"/>
              </w:rPr>
              <w:t>Oral</w:t>
            </w:r>
            <w:r>
              <w:rPr>
                <w:rFonts w:ascii="Book Antiqua" w:hAnsi="Book Antiqua"/>
                <w:sz w:val="18"/>
                <w:szCs w:val="18"/>
              </w:rPr>
              <w:t>idad en Bogotá, durante los 5 meses reportados, ya excedieron  en su reparto la carga razonable establecida en 478 procesos  4 veces más.</w:t>
            </w:r>
          </w:p>
        </w:tc>
      </w:tr>
    </w:tbl>
    <w:p w:rsidR="00B7013E" w:rsidRDefault="00B7013E" w:rsidP="00B7331D">
      <w:pPr>
        <w:spacing w:line="360" w:lineRule="auto"/>
        <w:jc w:val="both"/>
        <w:rPr>
          <w:rFonts w:ascii="Book Antiqua" w:hAnsi="Book Antiqua"/>
          <w:sz w:val="24"/>
          <w:szCs w:val="24"/>
          <w:lang w:val="es-CO"/>
        </w:rPr>
      </w:pPr>
    </w:p>
    <w:p w:rsidR="00B7331D" w:rsidRPr="00E141EC" w:rsidRDefault="008565E1" w:rsidP="00B7331D">
      <w:pPr>
        <w:spacing w:line="360" w:lineRule="auto"/>
        <w:jc w:val="both"/>
        <w:rPr>
          <w:rFonts w:ascii="Book Antiqua" w:hAnsi="Book Antiqua"/>
          <w:sz w:val="24"/>
          <w:szCs w:val="24"/>
          <w:lang w:val="es-CO"/>
        </w:rPr>
      </w:pPr>
      <w:r>
        <w:rPr>
          <w:rFonts w:ascii="Book Antiqua" w:hAnsi="Book Antiqua"/>
          <w:sz w:val="24"/>
          <w:szCs w:val="24"/>
          <w:lang w:val="es-CO"/>
        </w:rPr>
        <w:t>E</w:t>
      </w:r>
      <w:r w:rsidR="00B7331D" w:rsidRPr="00E141EC">
        <w:rPr>
          <w:rFonts w:ascii="Book Antiqua" w:hAnsi="Book Antiqua"/>
          <w:sz w:val="24"/>
          <w:szCs w:val="24"/>
          <w:lang w:val="es-CO"/>
        </w:rPr>
        <w:t xml:space="preserve">l déficit de atención a la demanda de Justicia es un hecho incontrastable, de modo que los fenómenos de congestión judicial,  falta de respuesta oportuna y consecuente insatisfacción de los usuarios, constituye uno de los factores que inciden gravemente en la pérdida de credibilidad en la Justicia y sensación de inoperancia de la misma. </w:t>
      </w:r>
      <w:r w:rsidR="004A1632">
        <w:rPr>
          <w:rFonts w:ascii="Book Antiqua" w:hAnsi="Book Antiqua"/>
          <w:sz w:val="24"/>
          <w:szCs w:val="24"/>
          <w:lang w:val="es-CO"/>
        </w:rPr>
        <w:t xml:space="preserve"> </w:t>
      </w:r>
    </w:p>
    <w:p w:rsidR="00B7331D" w:rsidRDefault="00B7331D" w:rsidP="00FA797E">
      <w:pPr>
        <w:spacing w:line="360" w:lineRule="auto"/>
        <w:jc w:val="both"/>
        <w:rPr>
          <w:rFonts w:ascii="Book Antiqua" w:hAnsi="Book Antiqua"/>
          <w:sz w:val="24"/>
          <w:szCs w:val="24"/>
          <w:lang w:val="es-CO"/>
        </w:rPr>
      </w:pPr>
      <w:r>
        <w:rPr>
          <w:rFonts w:ascii="Book Antiqua" w:hAnsi="Book Antiqua"/>
          <w:sz w:val="24"/>
          <w:szCs w:val="24"/>
          <w:lang w:val="es-CO"/>
        </w:rPr>
        <w:t>Cabe s</w:t>
      </w:r>
      <w:r w:rsidRPr="00E141EC">
        <w:rPr>
          <w:rFonts w:ascii="Book Antiqua" w:hAnsi="Book Antiqua"/>
          <w:sz w:val="24"/>
          <w:szCs w:val="24"/>
          <w:lang w:val="es-CO"/>
        </w:rPr>
        <w:t xml:space="preserve">eñalar igualmente que ese déficit de atención no es imputable a los servidores judiciales, cuyo rendimiento, según los porcentajes publicados por el </w:t>
      </w:r>
      <w:r w:rsidRPr="00E141EC">
        <w:rPr>
          <w:rFonts w:ascii="Book Antiqua" w:hAnsi="Book Antiqua"/>
          <w:sz w:val="24"/>
          <w:szCs w:val="24"/>
          <w:lang w:val="es-CO"/>
        </w:rPr>
        <w:lastRenderedPageBreak/>
        <w:t>propio Consejo Superior de Judicatura, en sus espacios de rendición de cuentas, en promedio nacional supera el 100%,  que sin duda en Bogotá se triplica si se toman en cuenta los índices de población y el número de procesos repartidos en comparación con otras regiones y claro está, con los estándares que se establecen como “carga máxima razonable”.</w:t>
      </w:r>
    </w:p>
    <w:p w:rsidR="00560F5D" w:rsidRPr="00560F5D" w:rsidRDefault="00560F5D" w:rsidP="00FA797E">
      <w:pPr>
        <w:spacing w:line="360" w:lineRule="auto"/>
        <w:jc w:val="both"/>
        <w:rPr>
          <w:rFonts w:ascii="Book Antiqua" w:hAnsi="Book Antiqua"/>
          <w:b/>
          <w:sz w:val="24"/>
          <w:szCs w:val="24"/>
          <w:lang w:val="es-CO"/>
        </w:rPr>
      </w:pPr>
      <w:r w:rsidRPr="00560F5D">
        <w:rPr>
          <w:rFonts w:ascii="Book Antiqua" w:hAnsi="Book Antiqua"/>
          <w:b/>
          <w:sz w:val="24"/>
          <w:szCs w:val="24"/>
          <w:lang w:val="es-CO"/>
        </w:rPr>
        <w:t xml:space="preserve">4.- CONCLUSIÓN </w:t>
      </w:r>
    </w:p>
    <w:p w:rsidR="008528F2" w:rsidRPr="00E141EC" w:rsidRDefault="00560F5D" w:rsidP="008528F2">
      <w:pPr>
        <w:spacing w:line="360" w:lineRule="auto"/>
        <w:jc w:val="both"/>
        <w:rPr>
          <w:rFonts w:ascii="Book Antiqua" w:hAnsi="Book Antiqua"/>
          <w:sz w:val="24"/>
          <w:szCs w:val="24"/>
          <w:lang w:val="es-CO"/>
        </w:rPr>
      </w:pPr>
      <w:r>
        <w:rPr>
          <w:rFonts w:ascii="Book Antiqua" w:hAnsi="Book Antiqua"/>
          <w:color w:val="000000"/>
          <w:sz w:val="24"/>
          <w:szCs w:val="24"/>
        </w:rPr>
        <w:t xml:space="preserve">Por los </w:t>
      </w:r>
      <w:r w:rsidR="00DD1A92">
        <w:rPr>
          <w:rFonts w:ascii="Book Antiqua" w:hAnsi="Book Antiqua"/>
          <w:color w:val="000000"/>
          <w:sz w:val="24"/>
          <w:szCs w:val="24"/>
        </w:rPr>
        <w:t>motivos anteriormente expuestos</w:t>
      </w:r>
      <w:r>
        <w:rPr>
          <w:rFonts w:ascii="Book Antiqua" w:hAnsi="Book Antiqua"/>
          <w:color w:val="000000"/>
          <w:sz w:val="24"/>
          <w:szCs w:val="24"/>
        </w:rPr>
        <w:t xml:space="preserve"> </w:t>
      </w:r>
      <w:r w:rsidRPr="00E141EC">
        <w:rPr>
          <w:rFonts w:ascii="Book Antiqua" w:hAnsi="Book Antiqua"/>
          <w:color w:val="000000"/>
          <w:sz w:val="24"/>
          <w:szCs w:val="24"/>
        </w:rPr>
        <w:t xml:space="preserve">se necesita con carácter urgente una decisión legislativa que </w:t>
      </w:r>
      <w:r>
        <w:rPr>
          <w:rFonts w:ascii="Book Antiqua" w:hAnsi="Book Antiqua"/>
          <w:color w:val="000000"/>
          <w:sz w:val="24"/>
          <w:szCs w:val="24"/>
        </w:rPr>
        <w:t>p</w:t>
      </w:r>
      <w:r w:rsidRPr="00816F22">
        <w:rPr>
          <w:rFonts w:ascii="Book Antiqua" w:hAnsi="Book Antiqua"/>
          <w:sz w:val="24"/>
          <w:szCs w:val="24"/>
        </w:rPr>
        <w:t>rorr</w:t>
      </w:r>
      <w:r w:rsidR="00DC53B8">
        <w:rPr>
          <w:rFonts w:ascii="Book Antiqua" w:hAnsi="Book Antiqua"/>
          <w:sz w:val="24"/>
          <w:szCs w:val="24"/>
        </w:rPr>
        <w:t>o</w:t>
      </w:r>
      <w:r>
        <w:rPr>
          <w:rFonts w:ascii="Book Antiqua" w:hAnsi="Book Antiqua"/>
          <w:sz w:val="24"/>
          <w:szCs w:val="24"/>
        </w:rPr>
        <w:t>gue</w:t>
      </w:r>
      <w:r w:rsidRPr="00816F22">
        <w:rPr>
          <w:rFonts w:ascii="Book Antiqua" w:hAnsi="Book Antiqua"/>
          <w:sz w:val="24"/>
          <w:szCs w:val="24"/>
        </w:rPr>
        <w:t xml:space="preserve"> los procesos de implementación del Sistema de Oralidad de la Ley 1395 de 2010  y </w:t>
      </w:r>
      <w:r>
        <w:rPr>
          <w:rFonts w:ascii="Book Antiqua" w:hAnsi="Book Antiqua"/>
          <w:sz w:val="24"/>
          <w:szCs w:val="24"/>
        </w:rPr>
        <w:t xml:space="preserve">de la Ley 1564 de 2012, </w:t>
      </w:r>
      <w:r w:rsidRPr="00816F22">
        <w:rPr>
          <w:rFonts w:ascii="Book Antiqua" w:hAnsi="Book Antiqua"/>
          <w:sz w:val="24"/>
          <w:szCs w:val="24"/>
        </w:rPr>
        <w:t>Código General del Proceso</w:t>
      </w:r>
      <w:r w:rsidR="00DD1A92">
        <w:rPr>
          <w:rFonts w:ascii="Book Antiqua" w:hAnsi="Book Antiqua"/>
          <w:sz w:val="24"/>
          <w:szCs w:val="24"/>
        </w:rPr>
        <w:t xml:space="preserve">, </w:t>
      </w:r>
      <w:r w:rsidR="00DC53B8">
        <w:rPr>
          <w:rFonts w:ascii="Book Antiqua" w:hAnsi="Book Antiqua"/>
          <w:sz w:val="24"/>
          <w:szCs w:val="24"/>
        </w:rPr>
        <w:t>pues de continuar con su implementación</w:t>
      </w:r>
      <w:r w:rsidR="00DC53B8" w:rsidRPr="00816F22">
        <w:rPr>
          <w:rFonts w:ascii="Book Antiqua" w:hAnsi="Book Antiqua"/>
          <w:sz w:val="24"/>
          <w:szCs w:val="24"/>
        </w:rPr>
        <w:t xml:space="preserve">, sin las condiciones logísticas que el nuevo sistema requiere, tendría una </w:t>
      </w:r>
      <w:r w:rsidR="00DC53B8">
        <w:rPr>
          <w:rFonts w:ascii="Book Antiqua" w:hAnsi="Book Antiqua"/>
          <w:sz w:val="24"/>
          <w:szCs w:val="24"/>
        </w:rPr>
        <w:t xml:space="preserve">grave </w:t>
      </w:r>
      <w:r w:rsidR="00DC53B8" w:rsidRPr="00816F22">
        <w:rPr>
          <w:rFonts w:ascii="Book Antiqua" w:hAnsi="Book Antiqua"/>
          <w:sz w:val="24"/>
          <w:szCs w:val="24"/>
        </w:rPr>
        <w:t xml:space="preserve">repercusión para el usuario de la justicia, que de no modificarse el panorama planteado se verá avocado </w:t>
      </w:r>
      <w:r w:rsidR="008528F2">
        <w:rPr>
          <w:rFonts w:ascii="Book Antiqua" w:hAnsi="Book Antiqua"/>
          <w:sz w:val="24"/>
          <w:szCs w:val="24"/>
        </w:rPr>
        <w:t xml:space="preserve">a </w:t>
      </w:r>
      <w:r w:rsidR="00DC53B8" w:rsidRPr="00816F22">
        <w:rPr>
          <w:rFonts w:ascii="Book Antiqua" w:hAnsi="Book Antiqua"/>
          <w:sz w:val="24"/>
          <w:szCs w:val="24"/>
        </w:rPr>
        <w:t>una ausencia de respuesta oportuna a los reclamos de justicia de orden familiar y civil, por la congestión que se vendría en la realización de la audiencias de trámite y fallo, por la falta de juzgados, de salas de audiencia</w:t>
      </w:r>
      <w:r w:rsidR="00DC53B8">
        <w:rPr>
          <w:rFonts w:ascii="Book Antiqua" w:hAnsi="Book Antiqua"/>
          <w:sz w:val="24"/>
          <w:szCs w:val="24"/>
        </w:rPr>
        <w:t>,</w:t>
      </w:r>
      <w:r w:rsidR="00DC53B8" w:rsidRPr="00816F22">
        <w:rPr>
          <w:rFonts w:ascii="Book Antiqua" w:hAnsi="Book Antiqua"/>
          <w:sz w:val="24"/>
          <w:szCs w:val="24"/>
        </w:rPr>
        <w:t xml:space="preserve"> </w:t>
      </w:r>
      <w:r w:rsidR="008528F2" w:rsidRPr="00E141EC">
        <w:rPr>
          <w:rFonts w:ascii="Book Antiqua" w:hAnsi="Book Antiqua"/>
          <w:sz w:val="24"/>
          <w:szCs w:val="24"/>
          <w:lang w:val="es-CO"/>
        </w:rPr>
        <w:t>tecn</w:t>
      </w:r>
      <w:r w:rsidR="008528F2">
        <w:rPr>
          <w:rFonts w:ascii="Book Antiqua" w:hAnsi="Book Antiqua"/>
          <w:sz w:val="24"/>
          <w:szCs w:val="24"/>
          <w:lang w:val="es-CO"/>
        </w:rPr>
        <w:t>o</w:t>
      </w:r>
      <w:r w:rsidR="008528F2" w:rsidRPr="00E141EC">
        <w:rPr>
          <w:rFonts w:ascii="Book Antiqua" w:hAnsi="Book Antiqua"/>
          <w:sz w:val="24"/>
          <w:szCs w:val="24"/>
          <w:lang w:val="es-CO"/>
        </w:rPr>
        <w:t>l</w:t>
      </w:r>
      <w:r w:rsidR="008528F2">
        <w:rPr>
          <w:rFonts w:ascii="Book Antiqua" w:hAnsi="Book Antiqua"/>
          <w:sz w:val="24"/>
          <w:szCs w:val="24"/>
          <w:lang w:val="es-CO"/>
        </w:rPr>
        <w:t>o</w:t>
      </w:r>
      <w:r w:rsidR="008528F2" w:rsidRPr="00E141EC">
        <w:rPr>
          <w:rFonts w:ascii="Book Antiqua" w:hAnsi="Book Antiqua"/>
          <w:sz w:val="24"/>
          <w:szCs w:val="24"/>
          <w:lang w:val="es-CO"/>
        </w:rPr>
        <w:t>g</w:t>
      </w:r>
      <w:r w:rsidR="008528F2">
        <w:rPr>
          <w:rFonts w:ascii="Book Antiqua" w:hAnsi="Book Antiqua"/>
          <w:sz w:val="24"/>
          <w:szCs w:val="24"/>
          <w:lang w:val="es-CO"/>
        </w:rPr>
        <w:t>ía</w:t>
      </w:r>
      <w:r w:rsidR="008528F2" w:rsidRPr="00E141EC">
        <w:rPr>
          <w:rFonts w:ascii="Book Antiqua" w:hAnsi="Book Antiqua"/>
          <w:sz w:val="24"/>
          <w:szCs w:val="24"/>
          <w:lang w:val="es-CO"/>
        </w:rPr>
        <w:t xml:space="preserve"> y</w:t>
      </w:r>
      <w:r w:rsidR="008528F2">
        <w:rPr>
          <w:rFonts w:ascii="Book Antiqua" w:hAnsi="Book Antiqua"/>
          <w:sz w:val="24"/>
          <w:szCs w:val="24"/>
          <w:lang w:val="es-CO"/>
        </w:rPr>
        <w:t xml:space="preserve"> de </w:t>
      </w:r>
      <w:r w:rsidR="008528F2" w:rsidRPr="00E141EC">
        <w:rPr>
          <w:rFonts w:ascii="Book Antiqua" w:hAnsi="Book Antiqua"/>
          <w:sz w:val="24"/>
          <w:szCs w:val="24"/>
          <w:lang w:val="es-CO"/>
        </w:rPr>
        <w:t>un proceso sólido de formación de los servidores públicos y de los abogados litigantes, que les permitan adecuar su quehacer a la nueva normatividad, condiciones de trabajo y al modelo de gestión.</w:t>
      </w:r>
    </w:p>
    <w:p w:rsidR="00560F5D" w:rsidRDefault="00DD1A92" w:rsidP="008528F2">
      <w:pPr>
        <w:spacing w:after="0" w:line="360" w:lineRule="auto"/>
        <w:jc w:val="both"/>
        <w:rPr>
          <w:rFonts w:ascii="Book Antiqua" w:hAnsi="Book Antiqua"/>
          <w:color w:val="000000"/>
          <w:sz w:val="16"/>
          <w:szCs w:val="16"/>
        </w:rPr>
      </w:pPr>
      <w:r>
        <w:rPr>
          <w:rFonts w:ascii="Book Antiqua" w:hAnsi="Book Antiqua"/>
          <w:color w:val="000000"/>
          <w:sz w:val="24"/>
          <w:szCs w:val="24"/>
        </w:rPr>
        <w:t>“</w:t>
      </w:r>
      <w:r w:rsidR="00447AA3" w:rsidRPr="00447AA3">
        <w:rPr>
          <w:rFonts w:ascii="Book Antiqua" w:hAnsi="Book Antiqua"/>
          <w:color w:val="000000"/>
          <w:sz w:val="24"/>
          <w:szCs w:val="24"/>
        </w:rPr>
        <w:t>El buen funcionamiento de la justicia en cualquier lugar, no solamente es garantía de</w:t>
      </w:r>
      <w:r w:rsidR="00447AA3">
        <w:rPr>
          <w:rFonts w:ascii="Book Antiqua" w:hAnsi="Book Antiqua"/>
          <w:color w:val="000000"/>
          <w:sz w:val="24"/>
          <w:szCs w:val="24"/>
        </w:rPr>
        <w:t xml:space="preserve"> </w:t>
      </w:r>
      <w:r w:rsidR="00447AA3" w:rsidRPr="00447AA3">
        <w:rPr>
          <w:rFonts w:ascii="Book Antiqua" w:hAnsi="Book Antiqua"/>
          <w:color w:val="000000"/>
          <w:sz w:val="24"/>
          <w:szCs w:val="24"/>
        </w:rPr>
        <w:t>tranquilidad sino indudable factor de progreso. Cuando sus servicios acusan lentitud,</w:t>
      </w:r>
      <w:r w:rsidR="00447AA3">
        <w:rPr>
          <w:rFonts w:ascii="Book Antiqua" w:hAnsi="Book Antiqua"/>
          <w:color w:val="000000"/>
          <w:sz w:val="24"/>
          <w:szCs w:val="24"/>
        </w:rPr>
        <w:t xml:space="preserve"> </w:t>
      </w:r>
      <w:r w:rsidR="00447AA3" w:rsidRPr="00447AA3">
        <w:rPr>
          <w:rFonts w:ascii="Book Antiqua" w:hAnsi="Book Antiqua"/>
          <w:color w:val="000000"/>
          <w:sz w:val="24"/>
          <w:szCs w:val="24"/>
        </w:rPr>
        <w:t>desorganización y fallas operatorias, los intereses de la comunidad se sienten amenazados y</w:t>
      </w:r>
      <w:r w:rsidR="00447AA3">
        <w:rPr>
          <w:rFonts w:ascii="Book Antiqua" w:hAnsi="Book Antiqua"/>
          <w:color w:val="000000"/>
          <w:sz w:val="24"/>
          <w:szCs w:val="24"/>
        </w:rPr>
        <w:t xml:space="preserve"> </w:t>
      </w:r>
      <w:r w:rsidR="00447AA3" w:rsidRPr="00447AA3">
        <w:rPr>
          <w:rFonts w:ascii="Book Antiqua" w:hAnsi="Book Antiqua"/>
          <w:color w:val="000000"/>
          <w:sz w:val="24"/>
          <w:szCs w:val="24"/>
        </w:rPr>
        <w:t>se desestimula el impulso creador de la comunidad entera</w:t>
      </w:r>
      <w:r>
        <w:rPr>
          <w:rFonts w:ascii="Book Antiqua" w:hAnsi="Book Antiqua"/>
          <w:color w:val="000000"/>
          <w:sz w:val="24"/>
          <w:szCs w:val="24"/>
        </w:rPr>
        <w:t>”</w:t>
      </w:r>
      <w:r w:rsidR="00C45AD0">
        <w:rPr>
          <w:rStyle w:val="Refdenotaalpie"/>
          <w:rFonts w:ascii="Book Antiqua" w:hAnsi="Book Antiqua"/>
          <w:color w:val="000000"/>
          <w:sz w:val="24"/>
          <w:szCs w:val="24"/>
        </w:rPr>
        <w:footnoteReference w:id="7"/>
      </w:r>
      <w:r w:rsidR="00447AA3" w:rsidRPr="00447AA3">
        <w:rPr>
          <w:rFonts w:ascii="Book Antiqua" w:hAnsi="Book Antiqua"/>
          <w:color w:val="000000"/>
          <w:sz w:val="24"/>
          <w:szCs w:val="24"/>
        </w:rPr>
        <w:t>.</w:t>
      </w:r>
      <w:r w:rsidR="00560F5D" w:rsidRPr="008528F2">
        <w:rPr>
          <w:rFonts w:ascii="Book Antiqua" w:hAnsi="Book Antiqua"/>
          <w:color w:val="000000"/>
          <w:sz w:val="16"/>
          <w:szCs w:val="16"/>
        </w:rPr>
        <w:t xml:space="preserve"> </w:t>
      </w:r>
    </w:p>
    <w:p w:rsidR="00EB7A1D" w:rsidRDefault="00EB7A1D" w:rsidP="008528F2">
      <w:pPr>
        <w:spacing w:after="0" w:line="360" w:lineRule="auto"/>
        <w:jc w:val="both"/>
        <w:rPr>
          <w:rFonts w:ascii="Book Antiqua" w:hAnsi="Book Antiqua"/>
          <w:color w:val="000000"/>
          <w:sz w:val="16"/>
          <w:szCs w:val="16"/>
        </w:rPr>
      </w:pPr>
    </w:p>
    <w:p w:rsidR="00EB7A1D" w:rsidRPr="00816F22" w:rsidRDefault="00EB7A1D" w:rsidP="00EB7A1D">
      <w:pPr>
        <w:pStyle w:val="NormalWeb"/>
        <w:spacing w:before="0" w:beforeAutospacing="0" w:after="0" w:afterAutospacing="0"/>
        <w:jc w:val="both"/>
        <w:rPr>
          <w:rFonts w:ascii="Book Antiqua" w:eastAsiaTheme="minorHAnsi" w:hAnsi="Book Antiqua" w:cstheme="minorBidi"/>
          <w:lang w:val="es-ES" w:eastAsia="en-US"/>
        </w:rPr>
      </w:pPr>
      <w:r>
        <w:rPr>
          <w:rFonts w:ascii="Book Antiqua" w:eastAsiaTheme="minorHAnsi" w:hAnsi="Book Antiqua" w:cstheme="minorBidi"/>
          <w:lang w:val="es-ES" w:eastAsia="en-US"/>
        </w:rPr>
        <w:t>Presentado por:</w:t>
      </w:r>
    </w:p>
    <w:p w:rsidR="00EB7A1D" w:rsidRDefault="00EB7A1D" w:rsidP="00EB7A1D">
      <w:pPr>
        <w:pStyle w:val="NormalWeb"/>
        <w:spacing w:before="0" w:beforeAutospacing="0" w:after="0" w:afterAutospacing="0"/>
        <w:jc w:val="both"/>
        <w:rPr>
          <w:rFonts w:ascii="Book Antiqua" w:eastAsiaTheme="minorHAnsi" w:hAnsi="Book Antiqua" w:cstheme="minorBidi"/>
          <w:lang w:val="es-ES" w:eastAsia="en-US"/>
        </w:rPr>
      </w:pPr>
    </w:p>
    <w:p w:rsidR="00EB7A1D" w:rsidRDefault="00EB7A1D" w:rsidP="00EB7A1D">
      <w:pPr>
        <w:pStyle w:val="NormalWeb"/>
        <w:spacing w:before="0" w:beforeAutospacing="0" w:after="0" w:afterAutospacing="0"/>
        <w:jc w:val="both"/>
        <w:rPr>
          <w:rFonts w:ascii="Book Antiqua" w:eastAsiaTheme="minorHAnsi" w:hAnsi="Book Antiqua" w:cstheme="minorBidi"/>
          <w:lang w:val="es-ES" w:eastAsia="en-US"/>
        </w:rPr>
      </w:pPr>
    </w:p>
    <w:p w:rsidR="00EB7A1D" w:rsidRPr="00816F22" w:rsidRDefault="00EB7A1D" w:rsidP="00EB7A1D">
      <w:pPr>
        <w:pStyle w:val="NormalWeb"/>
        <w:spacing w:before="0" w:beforeAutospacing="0" w:after="0" w:afterAutospacing="0"/>
        <w:jc w:val="both"/>
        <w:rPr>
          <w:rFonts w:ascii="Book Antiqua" w:eastAsiaTheme="minorHAnsi" w:hAnsi="Book Antiqua" w:cstheme="minorBidi"/>
          <w:lang w:val="es-ES" w:eastAsia="en-US"/>
        </w:rPr>
      </w:pPr>
    </w:p>
    <w:p w:rsidR="00C811AB" w:rsidRPr="00816F22" w:rsidRDefault="00C811AB" w:rsidP="00C811AB">
      <w:pPr>
        <w:pStyle w:val="NormalWeb"/>
        <w:spacing w:before="0" w:beforeAutospacing="0" w:after="0" w:afterAutospacing="0"/>
        <w:jc w:val="center"/>
        <w:rPr>
          <w:rFonts w:ascii="Book Antiqua" w:eastAsiaTheme="minorHAnsi" w:hAnsi="Book Antiqua" w:cstheme="minorBidi"/>
          <w:b/>
          <w:lang w:val="es-ES" w:eastAsia="en-US"/>
        </w:rPr>
      </w:pPr>
    </w:p>
    <w:p w:rsidR="00C811AB" w:rsidRPr="00DD399C" w:rsidRDefault="00C811AB" w:rsidP="00C811AB">
      <w:pPr>
        <w:pStyle w:val="Sinespaciado"/>
        <w:rPr>
          <w:rFonts w:ascii="Book Antiqua" w:hAnsi="Book Antiqua"/>
          <w:b/>
          <w:sz w:val="24"/>
          <w:szCs w:val="24"/>
        </w:rPr>
      </w:pPr>
      <w:r w:rsidRPr="00DD399C">
        <w:rPr>
          <w:rFonts w:ascii="Book Antiqua" w:hAnsi="Book Antiqua"/>
          <w:b/>
          <w:sz w:val="24"/>
          <w:szCs w:val="24"/>
        </w:rPr>
        <w:t>MANUEL ENRÍQUEZ ROSERO                      EDUARDO ENRÍQUEZ MAYA</w:t>
      </w:r>
    </w:p>
    <w:p w:rsidR="00C811AB" w:rsidRDefault="00C811AB" w:rsidP="00C811AB">
      <w:pPr>
        <w:pStyle w:val="Sinespaciado"/>
        <w:rPr>
          <w:rFonts w:ascii="Book Antiqua" w:hAnsi="Book Antiqua"/>
          <w:b/>
          <w:sz w:val="24"/>
          <w:szCs w:val="24"/>
        </w:rPr>
      </w:pPr>
      <w:r>
        <w:rPr>
          <w:rFonts w:ascii="Book Antiqua" w:hAnsi="Book Antiqua"/>
          <w:b/>
          <w:sz w:val="24"/>
          <w:szCs w:val="24"/>
        </w:rPr>
        <w:t xml:space="preserve">     </w:t>
      </w:r>
      <w:r w:rsidRPr="004A1632">
        <w:rPr>
          <w:rFonts w:ascii="Book Antiqua" w:hAnsi="Book Antiqua"/>
          <w:b/>
          <w:sz w:val="24"/>
          <w:szCs w:val="24"/>
        </w:rPr>
        <w:t xml:space="preserve">Senador de la República      </w:t>
      </w:r>
      <w:r>
        <w:rPr>
          <w:rFonts w:ascii="Book Antiqua" w:hAnsi="Book Antiqua"/>
          <w:b/>
          <w:sz w:val="24"/>
          <w:szCs w:val="24"/>
        </w:rPr>
        <w:t xml:space="preserve">                                </w:t>
      </w:r>
      <w:r w:rsidRPr="004A1632">
        <w:rPr>
          <w:rFonts w:ascii="Book Antiqua" w:hAnsi="Book Antiqua"/>
          <w:b/>
          <w:sz w:val="24"/>
          <w:szCs w:val="24"/>
        </w:rPr>
        <w:t>Senador de la República</w:t>
      </w:r>
    </w:p>
    <w:p w:rsidR="00560F5D" w:rsidRDefault="00C811AB" w:rsidP="00C811AB">
      <w:pPr>
        <w:pStyle w:val="Sinespaciado"/>
        <w:rPr>
          <w:rFonts w:ascii="Book Antiqua" w:hAnsi="Book Antiqua"/>
          <w:color w:val="000000"/>
          <w:sz w:val="24"/>
          <w:szCs w:val="24"/>
        </w:rPr>
      </w:pPr>
      <w:r>
        <w:rPr>
          <w:rFonts w:ascii="Book Antiqua" w:hAnsi="Book Antiqua"/>
          <w:b/>
          <w:sz w:val="24"/>
          <w:szCs w:val="24"/>
        </w:rPr>
        <w:t xml:space="preserve">    Presidente </w:t>
      </w:r>
      <w:r w:rsidRPr="004A1632">
        <w:rPr>
          <w:rFonts w:ascii="Book Antiqua" w:hAnsi="Book Antiqua"/>
          <w:b/>
          <w:sz w:val="24"/>
          <w:szCs w:val="24"/>
        </w:rPr>
        <w:t xml:space="preserve">Comisión Primera </w:t>
      </w:r>
    </w:p>
    <w:sectPr w:rsidR="00560F5D" w:rsidSect="00D46EBD">
      <w:headerReference w:type="default" r:id="rId21"/>
      <w:footerReference w:type="default" r:id="rId22"/>
      <w:pgSz w:w="12242" w:h="18722" w:code="14"/>
      <w:pgMar w:top="1985" w:right="1701" w:bottom="1701"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278" w:rsidRDefault="00BE4278" w:rsidP="005A67E5">
      <w:pPr>
        <w:spacing w:after="0" w:line="240" w:lineRule="auto"/>
      </w:pPr>
      <w:r>
        <w:separator/>
      </w:r>
    </w:p>
  </w:endnote>
  <w:endnote w:type="continuationSeparator" w:id="0">
    <w:p w:rsidR="00BE4278" w:rsidRDefault="00BE4278" w:rsidP="005A6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442583"/>
      <w:docPartObj>
        <w:docPartGallery w:val="Page Numbers (Bottom of Page)"/>
        <w:docPartUnique/>
      </w:docPartObj>
    </w:sdtPr>
    <w:sdtContent>
      <w:p w:rsidR="00E974E8" w:rsidRDefault="00E974E8">
        <w:pPr>
          <w:pStyle w:val="Piedepgina"/>
          <w:jc w:val="right"/>
        </w:pPr>
        <w:r>
          <w:fldChar w:fldCharType="begin"/>
        </w:r>
        <w:r>
          <w:instrText>PAGE   \* MERGEFORMAT</w:instrText>
        </w:r>
        <w:r>
          <w:fldChar w:fldCharType="separate"/>
        </w:r>
        <w:r w:rsidR="00650179">
          <w:rPr>
            <w:noProof/>
          </w:rPr>
          <w:t>2</w:t>
        </w:r>
        <w:r>
          <w:fldChar w:fldCharType="end"/>
        </w:r>
      </w:p>
    </w:sdtContent>
  </w:sdt>
  <w:p w:rsidR="00E974E8" w:rsidRDefault="00E974E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278" w:rsidRDefault="00BE4278" w:rsidP="005A67E5">
      <w:pPr>
        <w:spacing w:after="0" w:line="240" w:lineRule="auto"/>
      </w:pPr>
      <w:r>
        <w:separator/>
      </w:r>
    </w:p>
  </w:footnote>
  <w:footnote w:type="continuationSeparator" w:id="0">
    <w:p w:rsidR="00BE4278" w:rsidRDefault="00BE4278" w:rsidP="005A67E5">
      <w:pPr>
        <w:spacing w:after="0" w:line="240" w:lineRule="auto"/>
      </w:pPr>
      <w:r>
        <w:continuationSeparator/>
      </w:r>
    </w:p>
  </w:footnote>
  <w:footnote w:id="1">
    <w:p w:rsidR="00E974E8" w:rsidRPr="005B5166" w:rsidRDefault="00E974E8" w:rsidP="001B7BD9">
      <w:pPr>
        <w:autoSpaceDE w:val="0"/>
        <w:autoSpaceDN w:val="0"/>
        <w:adjustRightInd w:val="0"/>
        <w:spacing w:after="0" w:line="240" w:lineRule="auto"/>
        <w:jc w:val="both"/>
        <w:rPr>
          <w:rStyle w:val="Refdenotaalpie"/>
          <w:rFonts w:ascii="Book Antiqua" w:hAnsi="Book Antiqua"/>
          <w:sz w:val="18"/>
          <w:szCs w:val="18"/>
        </w:rPr>
      </w:pPr>
      <w:r w:rsidRPr="005B5166">
        <w:rPr>
          <w:rStyle w:val="Refdenotaalpie"/>
          <w:rFonts w:ascii="Book Antiqua" w:hAnsi="Book Antiqua"/>
          <w:sz w:val="18"/>
          <w:szCs w:val="18"/>
        </w:rPr>
        <w:footnoteRef/>
      </w:r>
      <w:r w:rsidRPr="005B5166">
        <w:rPr>
          <w:rStyle w:val="Refdenotaalpie"/>
          <w:rFonts w:ascii="Book Antiqua" w:hAnsi="Book Antiqua"/>
          <w:sz w:val="18"/>
          <w:szCs w:val="18"/>
        </w:rPr>
        <w:t xml:space="preserve"> INFORME DE EJECUCIÓN PLAN SECTORIAL DE DESARROLLO RAMA JUDICIAL  2011 – 2014  “Hacia una justicia eficiente, un propósito nacional”  Consejo Superior de  la Judicatura </w:t>
      </w:r>
    </w:p>
    <w:p w:rsidR="00E974E8" w:rsidRPr="005B5166" w:rsidRDefault="00E974E8" w:rsidP="001B7BD9">
      <w:pPr>
        <w:spacing w:after="0" w:line="360" w:lineRule="auto"/>
        <w:jc w:val="both"/>
        <w:rPr>
          <w:rFonts w:ascii="Book Antiqua" w:hAnsi="Book Antiqua"/>
          <w:sz w:val="18"/>
          <w:szCs w:val="18"/>
          <w:lang w:val="es-CO"/>
        </w:rPr>
      </w:pPr>
    </w:p>
    <w:p w:rsidR="00E974E8" w:rsidRPr="00A365DF" w:rsidRDefault="00E974E8">
      <w:pPr>
        <w:pStyle w:val="Textonotapie"/>
        <w:rPr>
          <w:rFonts w:ascii="Book Antiqua" w:hAnsi="Book Antiqua"/>
          <w:lang w:val="es-CO"/>
        </w:rPr>
      </w:pPr>
    </w:p>
  </w:footnote>
  <w:footnote w:id="2">
    <w:p w:rsidR="00E974E8" w:rsidRPr="00A365DF" w:rsidRDefault="00E974E8" w:rsidP="005B5166">
      <w:pPr>
        <w:autoSpaceDE w:val="0"/>
        <w:autoSpaceDN w:val="0"/>
        <w:adjustRightInd w:val="0"/>
        <w:spacing w:after="0" w:line="240" w:lineRule="auto"/>
        <w:jc w:val="both"/>
        <w:rPr>
          <w:rStyle w:val="Refdenotaalpie"/>
          <w:rFonts w:ascii="Book Antiqua" w:hAnsi="Book Antiqua"/>
          <w:sz w:val="18"/>
          <w:szCs w:val="18"/>
        </w:rPr>
      </w:pPr>
      <w:r w:rsidRPr="00A365DF">
        <w:rPr>
          <w:rStyle w:val="Refdenotaalpie"/>
          <w:rFonts w:ascii="Book Antiqua" w:hAnsi="Book Antiqua"/>
          <w:sz w:val="18"/>
          <w:szCs w:val="18"/>
        </w:rPr>
        <w:footnoteRef/>
      </w:r>
      <w:r w:rsidRPr="00A365DF">
        <w:rPr>
          <w:rStyle w:val="Refdenotaalpie"/>
          <w:rFonts w:ascii="Book Antiqua" w:hAnsi="Book Antiqua"/>
          <w:sz w:val="18"/>
          <w:szCs w:val="18"/>
        </w:rPr>
        <w:t xml:space="preserve"> Informe de Gestión 2013-2014 Sala Administrativa Consejo Superior de la Judicatura -Preguntas Frecuentes-</w:t>
      </w:r>
    </w:p>
  </w:footnote>
  <w:footnote w:id="3">
    <w:p w:rsidR="00E974E8" w:rsidRPr="005B5166" w:rsidRDefault="00E974E8" w:rsidP="0095036D">
      <w:pPr>
        <w:autoSpaceDE w:val="0"/>
        <w:autoSpaceDN w:val="0"/>
        <w:adjustRightInd w:val="0"/>
        <w:spacing w:after="0" w:line="240" w:lineRule="auto"/>
        <w:jc w:val="both"/>
        <w:rPr>
          <w:rFonts w:ascii="Book Antiqua" w:hAnsi="Book Antiqua"/>
          <w:sz w:val="18"/>
          <w:szCs w:val="18"/>
          <w:lang w:val="es-CO"/>
        </w:rPr>
      </w:pPr>
      <w:r w:rsidRPr="005B5166">
        <w:rPr>
          <w:rStyle w:val="Refdenotaalpie"/>
          <w:rFonts w:ascii="Book Antiqua" w:hAnsi="Book Antiqua"/>
          <w:sz w:val="18"/>
          <w:szCs w:val="18"/>
        </w:rPr>
        <w:footnoteRef/>
      </w:r>
      <w:r>
        <w:rPr>
          <w:rFonts w:ascii="Book Antiqua" w:hAnsi="Book Antiqua"/>
          <w:sz w:val="18"/>
          <w:szCs w:val="18"/>
        </w:rPr>
        <w:t xml:space="preserve"> </w:t>
      </w:r>
      <w:r w:rsidRPr="005B5166">
        <w:rPr>
          <w:rStyle w:val="Refdenotaalpie"/>
          <w:rFonts w:ascii="Book Antiqua" w:hAnsi="Book Antiqua"/>
          <w:sz w:val="18"/>
          <w:szCs w:val="18"/>
        </w:rPr>
        <w:t>Acuerdo No.PSA14-10155 de mayo 28 de 2014 “Por el cual se suspende el cronograma previsto en el Acuerdo PSA13-10073 del 27 de diciembre de2013</w:t>
      </w:r>
      <w:r w:rsidRPr="005B5166">
        <w:rPr>
          <w:rStyle w:val="Refdenotaalpie"/>
        </w:rPr>
        <w:t>”</w:t>
      </w:r>
    </w:p>
  </w:footnote>
  <w:footnote w:id="4">
    <w:p w:rsidR="00E974E8" w:rsidRPr="00534863" w:rsidRDefault="00E974E8" w:rsidP="00F727FD">
      <w:pPr>
        <w:spacing w:after="200" w:line="276" w:lineRule="auto"/>
        <w:jc w:val="both"/>
        <w:rPr>
          <w:rStyle w:val="Refdenotaalpie"/>
          <w:rFonts w:ascii="Book Antiqua" w:hAnsi="Book Antiqua"/>
          <w:sz w:val="18"/>
          <w:szCs w:val="18"/>
        </w:rPr>
      </w:pPr>
      <w:r>
        <w:rPr>
          <w:rStyle w:val="Refdenotaalpie"/>
        </w:rPr>
        <w:footnoteRef/>
      </w:r>
      <w:r>
        <w:t xml:space="preserve"> </w:t>
      </w:r>
      <w:r w:rsidRPr="005B5166">
        <w:rPr>
          <w:rStyle w:val="Refdenotaalpie"/>
          <w:rFonts w:ascii="Book Antiqua" w:hAnsi="Book Antiqua"/>
          <w:sz w:val="18"/>
          <w:szCs w:val="18"/>
        </w:rPr>
        <w:t xml:space="preserve">Información recibida de los Distritos Judiciales de </w:t>
      </w:r>
      <w:r w:rsidRPr="00534863">
        <w:rPr>
          <w:rStyle w:val="Refdenotaalpie"/>
          <w:rFonts w:ascii="Book Antiqua" w:hAnsi="Book Antiqua"/>
          <w:sz w:val="18"/>
          <w:szCs w:val="18"/>
        </w:rPr>
        <w:t>Antioquia, Arauca, Arc. San Andrés, Armenia, Barranquilla, Bogotá D.C, Bucaramanga, Buga, Cúcuta, Cundinamarca, Florencia, Ibagué, Manizales, Mocoa, Neiva, Pamplona, Pereira, Popayán, Quibdó, Riohacha, San Gil, Santa Marta, Sincelejo, Valledupar, Villavicencio, y  Yopal</w:t>
      </w:r>
      <w:r>
        <w:rPr>
          <w:rFonts w:ascii="Book Antiqua" w:hAnsi="Book Antiqua"/>
          <w:sz w:val="18"/>
          <w:szCs w:val="18"/>
        </w:rPr>
        <w:t>.</w:t>
      </w:r>
    </w:p>
    <w:p w:rsidR="00E974E8" w:rsidRPr="005B5166" w:rsidRDefault="00E974E8" w:rsidP="00274C7D">
      <w:pPr>
        <w:autoSpaceDE w:val="0"/>
        <w:autoSpaceDN w:val="0"/>
        <w:adjustRightInd w:val="0"/>
        <w:spacing w:after="0" w:line="240" w:lineRule="auto"/>
        <w:jc w:val="both"/>
        <w:rPr>
          <w:rStyle w:val="Refdenotaalpie"/>
          <w:rFonts w:ascii="Book Antiqua" w:hAnsi="Book Antiqua"/>
          <w:sz w:val="18"/>
          <w:szCs w:val="18"/>
        </w:rPr>
      </w:pPr>
      <w:r>
        <w:rPr>
          <w:rFonts w:ascii="Book Antiqua" w:hAnsi="Book Antiqua"/>
          <w:sz w:val="18"/>
          <w:szCs w:val="18"/>
        </w:rPr>
        <w:t xml:space="preserve">      </w:t>
      </w:r>
      <w:r w:rsidRPr="005B5166">
        <w:rPr>
          <w:rStyle w:val="Refdenotaalpie"/>
          <w:rFonts w:ascii="Book Antiqua" w:hAnsi="Book Antiqua"/>
          <w:sz w:val="18"/>
          <w:szCs w:val="18"/>
        </w:rPr>
        <w:t xml:space="preserve">       </w:t>
      </w:r>
    </w:p>
    <w:p w:rsidR="00E974E8" w:rsidRDefault="00E974E8" w:rsidP="00274C7D"/>
    <w:p w:rsidR="00E974E8" w:rsidRPr="00274C7D" w:rsidRDefault="00E974E8">
      <w:pPr>
        <w:pStyle w:val="Textonotapie"/>
      </w:pPr>
    </w:p>
  </w:footnote>
  <w:footnote w:id="5">
    <w:p w:rsidR="00E974E8" w:rsidRPr="00D15BC1" w:rsidRDefault="00E974E8" w:rsidP="00BA7FE8">
      <w:pPr>
        <w:pStyle w:val="Textonotapie"/>
        <w:rPr>
          <w:lang w:val="es-CO"/>
        </w:rPr>
      </w:pPr>
      <w:r>
        <w:rPr>
          <w:rStyle w:val="Refdenotaalpie"/>
        </w:rPr>
        <w:footnoteRef/>
      </w:r>
      <w:r>
        <w:t xml:space="preserve"> En </w:t>
      </w:r>
      <w:r w:rsidRPr="00A74A1F">
        <w:t>http://media.wix.com/ugd/185e70_041a9e398bdd442d9219aad1e56fd117.pdf</w:t>
      </w:r>
    </w:p>
  </w:footnote>
  <w:footnote w:id="6">
    <w:p w:rsidR="00E974E8" w:rsidRPr="00120D94" w:rsidRDefault="00E974E8" w:rsidP="00120D94">
      <w:pPr>
        <w:pStyle w:val="Textonotapie"/>
        <w:rPr>
          <w:rFonts w:ascii="Book Antiqua" w:hAnsi="Book Antiqua"/>
          <w:sz w:val="16"/>
          <w:szCs w:val="16"/>
          <w:lang w:val="es-CO"/>
        </w:rPr>
      </w:pPr>
      <w:r w:rsidRPr="00120D94">
        <w:rPr>
          <w:rStyle w:val="Refdenotaalpie"/>
          <w:rFonts w:ascii="Book Antiqua" w:hAnsi="Book Antiqua"/>
          <w:sz w:val="16"/>
          <w:szCs w:val="16"/>
        </w:rPr>
        <w:footnoteRef/>
      </w:r>
      <w:r w:rsidRPr="00120D94">
        <w:rPr>
          <w:rFonts w:ascii="Book Antiqua" w:hAnsi="Book Antiqua"/>
          <w:sz w:val="16"/>
          <w:szCs w:val="16"/>
        </w:rPr>
        <w:t xml:space="preserve"> En http://media.wix.com/ugd/185e70_041a9e398bdd442d9219aad1e56fd117.pdf</w:t>
      </w:r>
    </w:p>
  </w:footnote>
  <w:footnote w:id="7">
    <w:p w:rsidR="00E974E8" w:rsidRPr="000A2CE3" w:rsidRDefault="00E974E8">
      <w:pPr>
        <w:pStyle w:val="Textonotapie"/>
        <w:rPr>
          <w:rStyle w:val="Refdenotaalpie"/>
          <w:rFonts w:ascii="Book Antiqua" w:hAnsi="Book Antiqua"/>
          <w:sz w:val="16"/>
          <w:szCs w:val="16"/>
        </w:rPr>
      </w:pPr>
      <w:r w:rsidRPr="000A2CE3">
        <w:rPr>
          <w:rStyle w:val="Refdenotaalpie"/>
          <w:rFonts w:ascii="Book Antiqua" w:hAnsi="Book Antiqua"/>
          <w:sz w:val="16"/>
          <w:szCs w:val="16"/>
        </w:rPr>
        <w:footnoteRef/>
      </w:r>
      <w:r w:rsidRPr="000A2CE3">
        <w:rPr>
          <w:rStyle w:val="Refdenotaalpie"/>
          <w:rFonts w:ascii="Book Antiqua" w:hAnsi="Book Antiqua"/>
        </w:rPr>
        <w:t xml:space="preserve">  CASTRO, Jaime. “La justicia en Colombia”. Publicaciones especiales. Colcultura Bogotá, D.E. Pág. 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1AB" w:rsidRDefault="00C811AB">
    <w:pPr>
      <w:pStyle w:val="Encabezado"/>
    </w:pPr>
    <w:r w:rsidRPr="00F82621">
      <w:rPr>
        <w:noProof/>
        <w:lang w:val="es-CO" w:eastAsia="es-CO"/>
      </w:rPr>
      <w:drawing>
        <wp:anchor distT="0" distB="0" distL="114300" distR="114300" simplePos="0" relativeHeight="251659264" behindDoc="1" locked="0" layoutInCell="1" allowOverlap="1" wp14:anchorId="0A05197A" wp14:editId="00AF14D9">
          <wp:simplePos x="0" y="0"/>
          <wp:positionH relativeFrom="column">
            <wp:posOffset>1546225</wp:posOffset>
          </wp:positionH>
          <wp:positionV relativeFrom="paragraph">
            <wp:posOffset>-106680</wp:posOffset>
          </wp:positionV>
          <wp:extent cx="2292071" cy="834013"/>
          <wp:effectExtent l="0" t="0" r="0" b="4445"/>
          <wp:wrapNone/>
          <wp:docPr id="3" name="Imagen 3"/>
          <wp:cNvGraphicFramePr/>
          <a:graphic xmlns:a="http://schemas.openxmlformats.org/drawingml/2006/main">
            <a:graphicData uri="http://schemas.openxmlformats.org/drawingml/2006/picture">
              <pic:pic xmlns:pic="http://schemas.openxmlformats.org/drawingml/2006/picture">
                <pic:nvPicPr>
                  <pic:cNvPr id="1026" name="Imagen 14"/>
                  <pic:cNvPicPr>
                    <a:picLocks noChangeAspect="1" noChangeArrowheads="1"/>
                  </pic:cNvPicPr>
                </pic:nvPicPr>
                <pic:blipFill>
                  <a:blip r:embed="rId1"/>
                  <a:srcRect/>
                  <a:stretch>
                    <a:fillRect/>
                  </a:stretch>
                </pic:blipFill>
                <pic:spPr bwMode="auto">
                  <a:xfrm>
                    <a:off x="0" y="0"/>
                    <a:ext cx="2292071" cy="834013"/>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85F11"/>
    <w:multiLevelType w:val="hybridMultilevel"/>
    <w:tmpl w:val="0DD626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CC32A4C"/>
    <w:multiLevelType w:val="hybridMultilevel"/>
    <w:tmpl w:val="B448BF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52402033"/>
    <w:multiLevelType w:val="hybridMultilevel"/>
    <w:tmpl w:val="6A281B78"/>
    <w:lvl w:ilvl="0" w:tplc="79DA226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79D95924"/>
    <w:multiLevelType w:val="hybridMultilevel"/>
    <w:tmpl w:val="7F78A8D6"/>
    <w:lvl w:ilvl="0" w:tplc="8C087CAE">
      <w:start w:val="2010"/>
      <w:numFmt w:val="decimal"/>
      <w:lvlText w:val="%1"/>
      <w:lvlJc w:val="left"/>
      <w:pPr>
        <w:ind w:left="840" w:hanging="4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603"/>
    <w:rsid w:val="000001B5"/>
    <w:rsid w:val="00002015"/>
    <w:rsid w:val="00023748"/>
    <w:rsid w:val="000601CF"/>
    <w:rsid w:val="00063546"/>
    <w:rsid w:val="000651C4"/>
    <w:rsid w:val="000802E5"/>
    <w:rsid w:val="0009121B"/>
    <w:rsid w:val="000A2CE3"/>
    <w:rsid w:val="000A3032"/>
    <w:rsid w:val="000B6E3B"/>
    <w:rsid w:val="000C79F5"/>
    <w:rsid w:val="000D2B67"/>
    <w:rsid w:val="000E1855"/>
    <w:rsid w:val="00105CD2"/>
    <w:rsid w:val="00120D94"/>
    <w:rsid w:val="00133555"/>
    <w:rsid w:val="00143482"/>
    <w:rsid w:val="001505DC"/>
    <w:rsid w:val="00151602"/>
    <w:rsid w:val="00155DFC"/>
    <w:rsid w:val="00172176"/>
    <w:rsid w:val="001805F4"/>
    <w:rsid w:val="001813C9"/>
    <w:rsid w:val="001864AF"/>
    <w:rsid w:val="001B163C"/>
    <w:rsid w:val="001B4014"/>
    <w:rsid w:val="001B7BD9"/>
    <w:rsid w:val="001D5EB8"/>
    <w:rsid w:val="001E230B"/>
    <w:rsid w:val="002201D3"/>
    <w:rsid w:val="00221419"/>
    <w:rsid w:val="00231248"/>
    <w:rsid w:val="002312D3"/>
    <w:rsid w:val="002337B1"/>
    <w:rsid w:val="002379EB"/>
    <w:rsid w:val="00251350"/>
    <w:rsid w:val="002678B3"/>
    <w:rsid w:val="00274C7D"/>
    <w:rsid w:val="00280324"/>
    <w:rsid w:val="002A1D55"/>
    <w:rsid w:val="002A298F"/>
    <w:rsid w:val="002B5AF7"/>
    <w:rsid w:val="002B72AE"/>
    <w:rsid w:val="002B7DBF"/>
    <w:rsid w:val="002C341D"/>
    <w:rsid w:val="002E19C7"/>
    <w:rsid w:val="002F0CCF"/>
    <w:rsid w:val="002F4DA0"/>
    <w:rsid w:val="00306A7E"/>
    <w:rsid w:val="00313091"/>
    <w:rsid w:val="003164CD"/>
    <w:rsid w:val="00325A2B"/>
    <w:rsid w:val="00337126"/>
    <w:rsid w:val="003422F9"/>
    <w:rsid w:val="0034231E"/>
    <w:rsid w:val="00353D1C"/>
    <w:rsid w:val="0037091D"/>
    <w:rsid w:val="00370D16"/>
    <w:rsid w:val="00394404"/>
    <w:rsid w:val="003B02D9"/>
    <w:rsid w:val="003C11DF"/>
    <w:rsid w:val="003D3C43"/>
    <w:rsid w:val="003E5EAE"/>
    <w:rsid w:val="003F5670"/>
    <w:rsid w:val="003F7E27"/>
    <w:rsid w:val="004075D6"/>
    <w:rsid w:val="00447AA3"/>
    <w:rsid w:val="00452A31"/>
    <w:rsid w:val="004607E9"/>
    <w:rsid w:val="004816D0"/>
    <w:rsid w:val="004A1632"/>
    <w:rsid w:val="004A6552"/>
    <w:rsid w:val="004B3C20"/>
    <w:rsid w:val="004B54E9"/>
    <w:rsid w:val="004C6D59"/>
    <w:rsid w:val="004E06AB"/>
    <w:rsid w:val="004E7B5A"/>
    <w:rsid w:val="00500241"/>
    <w:rsid w:val="00507ED5"/>
    <w:rsid w:val="005117E1"/>
    <w:rsid w:val="005236F9"/>
    <w:rsid w:val="00560F5D"/>
    <w:rsid w:val="00562906"/>
    <w:rsid w:val="00567F79"/>
    <w:rsid w:val="00582E91"/>
    <w:rsid w:val="00591A2C"/>
    <w:rsid w:val="005A4496"/>
    <w:rsid w:val="005A67E5"/>
    <w:rsid w:val="005B5166"/>
    <w:rsid w:val="005C24AB"/>
    <w:rsid w:val="005D0D83"/>
    <w:rsid w:val="005D52F4"/>
    <w:rsid w:val="005D6CD3"/>
    <w:rsid w:val="0060136A"/>
    <w:rsid w:val="00631A6F"/>
    <w:rsid w:val="00636171"/>
    <w:rsid w:val="0064481D"/>
    <w:rsid w:val="006457CF"/>
    <w:rsid w:val="00650179"/>
    <w:rsid w:val="00650AFC"/>
    <w:rsid w:val="006551D9"/>
    <w:rsid w:val="00656D6E"/>
    <w:rsid w:val="0067083C"/>
    <w:rsid w:val="006959C1"/>
    <w:rsid w:val="006A4A73"/>
    <w:rsid w:val="006A5437"/>
    <w:rsid w:val="006B73F5"/>
    <w:rsid w:val="006D1912"/>
    <w:rsid w:val="006E40C2"/>
    <w:rsid w:val="006F3067"/>
    <w:rsid w:val="006F566C"/>
    <w:rsid w:val="00714AC2"/>
    <w:rsid w:val="00730191"/>
    <w:rsid w:val="007422A0"/>
    <w:rsid w:val="00753345"/>
    <w:rsid w:val="00763171"/>
    <w:rsid w:val="0076706E"/>
    <w:rsid w:val="007763B7"/>
    <w:rsid w:val="007779CF"/>
    <w:rsid w:val="007A04D3"/>
    <w:rsid w:val="007A172E"/>
    <w:rsid w:val="00811530"/>
    <w:rsid w:val="00813CB5"/>
    <w:rsid w:val="00816F22"/>
    <w:rsid w:val="008411CC"/>
    <w:rsid w:val="00846386"/>
    <w:rsid w:val="008528F2"/>
    <w:rsid w:val="00855652"/>
    <w:rsid w:val="008565E1"/>
    <w:rsid w:val="00866599"/>
    <w:rsid w:val="008748D3"/>
    <w:rsid w:val="008817A4"/>
    <w:rsid w:val="00887CB4"/>
    <w:rsid w:val="008A0479"/>
    <w:rsid w:val="008C15AA"/>
    <w:rsid w:val="008C6B59"/>
    <w:rsid w:val="008C76CA"/>
    <w:rsid w:val="008D62CB"/>
    <w:rsid w:val="008E2801"/>
    <w:rsid w:val="008E3EDB"/>
    <w:rsid w:val="009129B4"/>
    <w:rsid w:val="00935FBD"/>
    <w:rsid w:val="00936E2D"/>
    <w:rsid w:val="00942122"/>
    <w:rsid w:val="009473EA"/>
    <w:rsid w:val="0095036D"/>
    <w:rsid w:val="00960779"/>
    <w:rsid w:val="00963C79"/>
    <w:rsid w:val="00984869"/>
    <w:rsid w:val="00986064"/>
    <w:rsid w:val="00987F47"/>
    <w:rsid w:val="00994A4D"/>
    <w:rsid w:val="009A0408"/>
    <w:rsid w:val="009A6C36"/>
    <w:rsid w:val="009B6FE7"/>
    <w:rsid w:val="009D3A18"/>
    <w:rsid w:val="009D4B5B"/>
    <w:rsid w:val="009E0335"/>
    <w:rsid w:val="009F40B3"/>
    <w:rsid w:val="009F5585"/>
    <w:rsid w:val="00A00B05"/>
    <w:rsid w:val="00A01399"/>
    <w:rsid w:val="00A01DE0"/>
    <w:rsid w:val="00A0327E"/>
    <w:rsid w:val="00A068CB"/>
    <w:rsid w:val="00A2730F"/>
    <w:rsid w:val="00A365DF"/>
    <w:rsid w:val="00A62A80"/>
    <w:rsid w:val="00A676EC"/>
    <w:rsid w:val="00A701A3"/>
    <w:rsid w:val="00A83481"/>
    <w:rsid w:val="00A920C2"/>
    <w:rsid w:val="00A928C7"/>
    <w:rsid w:val="00AA5D78"/>
    <w:rsid w:val="00AE0421"/>
    <w:rsid w:val="00AE64A7"/>
    <w:rsid w:val="00B005AF"/>
    <w:rsid w:val="00B0061A"/>
    <w:rsid w:val="00B0680A"/>
    <w:rsid w:val="00B126AF"/>
    <w:rsid w:val="00B2032A"/>
    <w:rsid w:val="00B25B8E"/>
    <w:rsid w:val="00B3083B"/>
    <w:rsid w:val="00B4040F"/>
    <w:rsid w:val="00B43B08"/>
    <w:rsid w:val="00B502B8"/>
    <w:rsid w:val="00B608C8"/>
    <w:rsid w:val="00B60F09"/>
    <w:rsid w:val="00B615C1"/>
    <w:rsid w:val="00B62305"/>
    <w:rsid w:val="00B67D5E"/>
    <w:rsid w:val="00B7013E"/>
    <w:rsid w:val="00B7331D"/>
    <w:rsid w:val="00B85944"/>
    <w:rsid w:val="00B9024A"/>
    <w:rsid w:val="00BA7FE8"/>
    <w:rsid w:val="00BB16E0"/>
    <w:rsid w:val="00BC39BE"/>
    <w:rsid w:val="00BD6F28"/>
    <w:rsid w:val="00BE4278"/>
    <w:rsid w:val="00BE503C"/>
    <w:rsid w:val="00C03313"/>
    <w:rsid w:val="00C32A79"/>
    <w:rsid w:val="00C33BC6"/>
    <w:rsid w:val="00C45AD0"/>
    <w:rsid w:val="00C46C68"/>
    <w:rsid w:val="00C515F8"/>
    <w:rsid w:val="00C572DF"/>
    <w:rsid w:val="00C60696"/>
    <w:rsid w:val="00C6337C"/>
    <w:rsid w:val="00C811AB"/>
    <w:rsid w:val="00C935FD"/>
    <w:rsid w:val="00C94603"/>
    <w:rsid w:val="00C947F7"/>
    <w:rsid w:val="00C957F8"/>
    <w:rsid w:val="00CA27F3"/>
    <w:rsid w:val="00CC3245"/>
    <w:rsid w:val="00CE436D"/>
    <w:rsid w:val="00CF60B7"/>
    <w:rsid w:val="00D14370"/>
    <w:rsid w:val="00D17B63"/>
    <w:rsid w:val="00D3527B"/>
    <w:rsid w:val="00D40B9A"/>
    <w:rsid w:val="00D41341"/>
    <w:rsid w:val="00D46EBD"/>
    <w:rsid w:val="00D501F2"/>
    <w:rsid w:val="00D53EBB"/>
    <w:rsid w:val="00D83658"/>
    <w:rsid w:val="00D90728"/>
    <w:rsid w:val="00DC53B8"/>
    <w:rsid w:val="00DC67E9"/>
    <w:rsid w:val="00DD10D5"/>
    <w:rsid w:val="00DD1A92"/>
    <w:rsid w:val="00E16CF9"/>
    <w:rsid w:val="00E23EE3"/>
    <w:rsid w:val="00E27BB9"/>
    <w:rsid w:val="00E30052"/>
    <w:rsid w:val="00E50D00"/>
    <w:rsid w:val="00E5457D"/>
    <w:rsid w:val="00E60E15"/>
    <w:rsid w:val="00E72076"/>
    <w:rsid w:val="00E76993"/>
    <w:rsid w:val="00E8380B"/>
    <w:rsid w:val="00E94449"/>
    <w:rsid w:val="00E9666B"/>
    <w:rsid w:val="00E974E8"/>
    <w:rsid w:val="00E97EB6"/>
    <w:rsid w:val="00EA0917"/>
    <w:rsid w:val="00EB7A1D"/>
    <w:rsid w:val="00EC79C4"/>
    <w:rsid w:val="00ED422C"/>
    <w:rsid w:val="00ED51FC"/>
    <w:rsid w:val="00ED677B"/>
    <w:rsid w:val="00EE66A5"/>
    <w:rsid w:val="00EF33F8"/>
    <w:rsid w:val="00F42AA1"/>
    <w:rsid w:val="00F4724B"/>
    <w:rsid w:val="00F53C67"/>
    <w:rsid w:val="00F67F68"/>
    <w:rsid w:val="00F727FD"/>
    <w:rsid w:val="00F83C09"/>
    <w:rsid w:val="00F935B9"/>
    <w:rsid w:val="00FA6727"/>
    <w:rsid w:val="00FA797E"/>
    <w:rsid w:val="00FC24D4"/>
    <w:rsid w:val="00FD554F"/>
    <w:rsid w:val="00FD599C"/>
    <w:rsid w:val="00FE0503"/>
    <w:rsid w:val="00FE1DB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603"/>
    <w:pPr>
      <w:spacing w:after="160" w:line="259" w:lineRule="auto"/>
    </w:pPr>
    <w:rPr>
      <w:lang w:val="es-ES"/>
    </w:rPr>
  </w:style>
  <w:style w:type="paragraph" w:styleId="Ttulo1">
    <w:name w:val="heading 1"/>
    <w:basedOn w:val="Normal"/>
    <w:next w:val="Normal"/>
    <w:link w:val="Ttulo1Car"/>
    <w:uiPriority w:val="9"/>
    <w:qFormat/>
    <w:rsid w:val="00105CD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105CD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9460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Default">
    <w:name w:val="Default"/>
    <w:rsid w:val="00984869"/>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DD10D5"/>
    <w:pPr>
      <w:ind w:left="720"/>
      <w:contextualSpacing/>
    </w:pPr>
  </w:style>
  <w:style w:type="character" w:customStyle="1" w:styleId="Ttulo1Car">
    <w:name w:val="Título 1 Car"/>
    <w:basedOn w:val="Fuentedeprrafopredeter"/>
    <w:link w:val="Ttulo1"/>
    <w:uiPriority w:val="9"/>
    <w:rsid w:val="00105CD2"/>
    <w:rPr>
      <w:rFonts w:asciiTheme="majorHAnsi" w:eastAsiaTheme="majorEastAsia" w:hAnsiTheme="majorHAnsi" w:cstheme="majorBidi"/>
      <w:color w:val="365F91" w:themeColor="accent1" w:themeShade="BF"/>
      <w:sz w:val="32"/>
      <w:szCs w:val="32"/>
      <w:lang w:val="es-ES"/>
    </w:rPr>
  </w:style>
  <w:style w:type="character" w:customStyle="1" w:styleId="Ttulo2Car">
    <w:name w:val="Título 2 Car"/>
    <w:basedOn w:val="Fuentedeprrafopredeter"/>
    <w:link w:val="Ttulo2"/>
    <w:uiPriority w:val="9"/>
    <w:rsid w:val="00105CD2"/>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59"/>
    <w:rsid w:val="00105C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105C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5CD2"/>
    <w:rPr>
      <w:rFonts w:ascii="Tahoma" w:hAnsi="Tahoma" w:cs="Tahoma"/>
      <w:sz w:val="16"/>
      <w:szCs w:val="16"/>
      <w:lang w:val="es-ES"/>
    </w:rPr>
  </w:style>
  <w:style w:type="table" w:customStyle="1" w:styleId="GridTable4Accent5">
    <w:name w:val="Grid Table 4 Accent 5"/>
    <w:basedOn w:val="Tablanormal"/>
    <w:uiPriority w:val="49"/>
    <w:rsid w:val="00813CB5"/>
    <w:pPr>
      <w:spacing w:after="0" w:line="240" w:lineRule="auto"/>
    </w:pPr>
    <w:rPr>
      <w:lang w:val="es-E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extonotaalfinal">
    <w:name w:val="endnote text"/>
    <w:basedOn w:val="Normal"/>
    <w:link w:val="TextonotaalfinalCar"/>
    <w:uiPriority w:val="99"/>
    <w:semiHidden/>
    <w:unhideWhenUsed/>
    <w:rsid w:val="005A67E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67E5"/>
    <w:rPr>
      <w:sz w:val="20"/>
      <w:szCs w:val="20"/>
      <w:lang w:val="es-ES"/>
    </w:rPr>
  </w:style>
  <w:style w:type="character" w:styleId="Refdenotaalfinal">
    <w:name w:val="endnote reference"/>
    <w:basedOn w:val="Fuentedeprrafopredeter"/>
    <w:uiPriority w:val="99"/>
    <w:semiHidden/>
    <w:unhideWhenUsed/>
    <w:rsid w:val="005A67E5"/>
    <w:rPr>
      <w:vertAlign w:val="superscript"/>
    </w:rPr>
  </w:style>
  <w:style w:type="paragraph" w:styleId="Textonotapie">
    <w:name w:val="footnote text"/>
    <w:basedOn w:val="Normal"/>
    <w:link w:val="TextonotapieCar"/>
    <w:uiPriority w:val="99"/>
    <w:semiHidden/>
    <w:unhideWhenUsed/>
    <w:rsid w:val="005A449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A4496"/>
    <w:rPr>
      <w:sz w:val="20"/>
      <w:szCs w:val="20"/>
      <w:lang w:val="es-ES"/>
    </w:rPr>
  </w:style>
  <w:style w:type="character" w:styleId="Refdenotaalpie">
    <w:name w:val="footnote reference"/>
    <w:basedOn w:val="Fuentedeprrafopredeter"/>
    <w:uiPriority w:val="99"/>
    <w:semiHidden/>
    <w:unhideWhenUsed/>
    <w:rsid w:val="005A4496"/>
    <w:rPr>
      <w:vertAlign w:val="superscript"/>
    </w:rPr>
  </w:style>
  <w:style w:type="paragraph" w:styleId="Encabezado">
    <w:name w:val="header"/>
    <w:basedOn w:val="Normal"/>
    <w:link w:val="EncabezadoCar"/>
    <w:uiPriority w:val="99"/>
    <w:unhideWhenUsed/>
    <w:rsid w:val="00B60F0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60F09"/>
    <w:rPr>
      <w:lang w:val="es-ES"/>
    </w:rPr>
  </w:style>
  <w:style w:type="paragraph" w:styleId="Piedepgina">
    <w:name w:val="footer"/>
    <w:basedOn w:val="Normal"/>
    <w:link w:val="PiedepginaCar"/>
    <w:uiPriority w:val="99"/>
    <w:unhideWhenUsed/>
    <w:rsid w:val="00B60F0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60F09"/>
    <w:rPr>
      <w:lang w:val="es-ES"/>
    </w:rPr>
  </w:style>
  <w:style w:type="paragraph" w:styleId="Sinespaciado">
    <w:name w:val="No Spacing"/>
    <w:uiPriority w:val="1"/>
    <w:qFormat/>
    <w:rsid w:val="004A1632"/>
    <w:pPr>
      <w:spacing w:after="0" w:line="240" w:lineRule="auto"/>
    </w:pPr>
    <w:rPr>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603"/>
    <w:pPr>
      <w:spacing w:after="160" w:line="259" w:lineRule="auto"/>
    </w:pPr>
    <w:rPr>
      <w:lang w:val="es-ES"/>
    </w:rPr>
  </w:style>
  <w:style w:type="paragraph" w:styleId="Ttulo1">
    <w:name w:val="heading 1"/>
    <w:basedOn w:val="Normal"/>
    <w:next w:val="Normal"/>
    <w:link w:val="Ttulo1Car"/>
    <w:uiPriority w:val="9"/>
    <w:qFormat/>
    <w:rsid w:val="00105CD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105CD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9460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Default">
    <w:name w:val="Default"/>
    <w:rsid w:val="00984869"/>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DD10D5"/>
    <w:pPr>
      <w:ind w:left="720"/>
      <w:contextualSpacing/>
    </w:pPr>
  </w:style>
  <w:style w:type="character" w:customStyle="1" w:styleId="Ttulo1Car">
    <w:name w:val="Título 1 Car"/>
    <w:basedOn w:val="Fuentedeprrafopredeter"/>
    <w:link w:val="Ttulo1"/>
    <w:uiPriority w:val="9"/>
    <w:rsid w:val="00105CD2"/>
    <w:rPr>
      <w:rFonts w:asciiTheme="majorHAnsi" w:eastAsiaTheme="majorEastAsia" w:hAnsiTheme="majorHAnsi" w:cstheme="majorBidi"/>
      <w:color w:val="365F91" w:themeColor="accent1" w:themeShade="BF"/>
      <w:sz w:val="32"/>
      <w:szCs w:val="32"/>
      <w:lang w:val="es-ES"/>
    </w:rPr>
  </w:style>
  <w:style w:type="character" w:customStyle="1" w:styleId="Ttulo2Car">
    <w:name w:val="Título 2 Car"/>
    <w:basedOn w:val="Fuentedeprrafopredeter"/>
    <w:link w:val="Ttulo2"/>
    <w:uiPriority w:val="9"/>
    <w:rsid w:val="00105CD2"/>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59"/>
    <w:rsid w:val="00105C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105C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5CD2"/>
    <w:rPr>
      <w:rFonts w:ascii="Tahoma" w:hAnsi="Tahoma" w:cs="Tahoma"/>
      <w:sz w:val="16"/>
      <w:szCs w:val="16"/>
      <w:lang w:val="es-ES"/>
    </w:rPr>
  </w:style>
  <w:style w:type="table" w:customStyle="1" w:styleId="GridTable4Accent5">
    <w:name w:val="Grid Table 4 Accent 5"/>
    <w:basedOn w:val="Tablanormal"/>
    <w:uiPriority w:val="49"/>
    <w:rsid w:val="00813CB5"/>
    <w:pPr>
      <w:spacing w:after="0" w:line="240" w:lineRule="auto"/>
    </w:pPr>
    <w:rPr>
      <w:lang w:val="es-E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extonotaalfinal">
    <w:name w:val="endnote text"/>
    <w:basedOn w:val="Normal"/>
    <w:link w:val="TextonotaalfinalCar"/>
    <w:uiPriority w:val="99"/>
    <w:semiHidden/>
    <w:unhideWhenUsed/>
    <w:rsid w:val="005A67E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67E5"/>
    <w:rPr>
      <w:sz w:val="20"/>
      <w:szCs w:val="20"/>
      <w:lang w:val="es-ES"/>
    </w:rPr>
  </w:style>
  <w:style w:type="character" w:styleId="Refdenotaalfinal">
    <w:name w:val="endnote reference"/>
    <w:basedOn w:val="Fuentedeprrafopredeter"/>
    <w:uiPriority w:val="99"/>
    <w:semiHidden/>
    <w:unhideWhenUsed/>
    <w:rsid w:val="005A67E5"/>
    <w:rPr>
      <w:vertAlign w:val="superscript"/>
    </w:rPr>
  </w:style>
  <w:style w:type="paragraph" w:styleId="Textonotapie">
    <w:name w:val="footnote text"/>
    <w:basedOn w:val="Normal"/>
    <w:link w:val="TextonotapieCar"/>
    <w:uiPriority w:val="99"/>
    <w:semiHidden/>
    <w:unhideWhenUsed/>
    <w:rsid w:val="005A449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A4496"/>
    <w:rPr>
      <w:sz w:val="20"/>
      <w:szCs w:val="20"/>
      <w:lang w:val="es-ES"/>
    </w:rPr>
  </w:style>
  <w:style w:type="character" w:styleId="Refdenotaalpie">
    <w:name w:val="footnote reference"/>
    <w:basedOn w:val="Fuentedeprrafopredeter"/>
    <w:uiPriority w:val="99"/>
    <w:semiHidden/>
    <w:unhideWhenUsed/>
    <w:rsid w:val="005A4496"/>
    <w:rPr>
      <w:vertAlign w:val="superscript"/>
    </w:rPr>
  </w:style>
  <w:style w:type="paragraph" w:styleId="Encabezado">
    <w:name w:val="header"/>
    <w:basedOn w:val="Normal"/>
    <w:link w:val="EncabezadoCar"/>
    <w:uiPriority w:val="99"/>
    <w:unhideWhenUsed/>
    <w:rsid w:val="00B60F0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60F09"/>
    <w:rPr>
      <w:lang w:val="es-ES"/>
    </w:rPr>
  </w:style>
  <w:style w:type="paragraph" w:styleId="Piedepgina">
    <w:name w:val="footer"/>
    <w:basedOn w:val="Normal"/>
    <w:link w:val="PiedepginaCar"/>
    <w:uiPriority w:val="99"/>
    <w:unhideWhenUsed/>
    <w:rsid w:val="00B60F0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60F09"/>
    <w:rPr>
      <w:lang w:val="es-ES"/>
    </w:rPr>
  </w:style>
  <w:style w:type="paragraph" w:styleId="Sinespaciado">
    <w:name w:val="No Spacing"/>
    <w:uiPriority w:val="1"/>
    <w:qFormat/>
    <w:rsid w:val="004A1632"/>
    <w:pPr>
      <w:spacing w:after="0" w:line="240" w:lineRule="auto"/>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85374">
      <w:bodyDiv w:val="1"/>
      <w:marLeft w:val="0"/>
      <w:marRight w:val="0"/>
      <w:marTop w:val="0"/>
      <w:marBottom w:val="0"/>
      <w:divBdr>
        <w:top w:val="none" w:sz="0" w:space="0" w:color="auto"/>
        <w:left w:val="none" w:sz="0" w:space="0" w:color="auto"/>
        <w:bottom w:val="none" w:sz="0" w:space="0" w:color="auto"/>
        <w:right w:val="none" w:sz="0" w:space="0" w:color="auto"/>
      </w:divBdr>
    </w:div>
    <w:div w:id="455102683">
      <w:bodyDiv w:val="1"/>
      <w:marLeft w:val="0"/>
      <w:marRight w:val="0"/>
      <w:marTop w:val="0"/>
      <w:marBottom w:val="0"/>
      <w:divBdr>
        <w:top w:val="none" w:sz="0" w:space="0" w:color="auto"/>
        <w:left w:val="none" w:sz="0" w:space="0" w:color="auto"/>
        <w:bottom w:val="none" w:sz="0" w:space="0" w:color="auto"/>
        <w:right w:val="none" w:sz="0" w:space="0" w:color="auto"/>
      </w:divBdr>
    </w:div>
    <w:div w:id="483550997">
      <w:bodyDiv w:val="1"/>
      <w:marLeft w:val="0"/>
      <w:marRight w:val="0"/>
      <w:marTop w:val="0"/>
      <w:marBottom w:val="0"/>
      <w:divBdr>
        <w:top w:val="none" w:sz="0" w:space="0" w:color="auto"/>
        <w:left w:val="none" w:sz="0" w:space="0" w:color="auto"/>
        <w:bottom w:val="none" w:sz="0" w:space="0" w:color="auto"/>
        <w:right w:val="none" w:sz="0" w:space="0" w:color="auto"/>
      </w:divBdr>
    </w:div>
    <w:div w:id="850417682">
      <w:bodyDiv w:val="1"/>
      <w:marLeft w:val="0"/>
      <w:marRight w:val="0"/>
      <w:marTop w:val="0"/>
      <w:marBottom w:val="0"/>
      <w:divBdr>
        <w:top w:val="none" w:sz="0" w:space="0" w:color="auto"/>
        <w:left w:val="none" w:sz="0" w:space="0" w:color="auto"/>
        <w:bottom w:val="none" w:sz="0" w:space="0" w:color="auto"/>
        <w:right w:val="none" w:sz="0" w:space="0" w:color="auto"/>
      </w:divBdr>
    </w:div>
    <w:div w:id="883250926">
      <w:bodyDiv w:val="1"/>
      <w:marLeft w:val="0"/>
      <w:marRight w:val="0"/>
      <w:marTop w:val="0"/>
      <w:marBottom w:val="0"/>
      <w:divBdr>
        <w:top w:val="none" w:sz="0" w:space="0" w:color="auto"/>
        <w:left w:val="none" w:sz="0" w:space="0" w:color="auto"/>
        <w:bottom w:val="none" w:sz="0" w:space="0" w:color="auto"/>
        <w:right w:val="none" w:sz="0" w:space="0" w:color="auto"/>
      </w:divBdr>
    </w:div>
    <w:div w:id="895628716">
      <w:bodyDiv w:val="1"/>
      <w:marLeft w:val="0"/>
      <w:marRight w:val="0"/>
      <w:marTop w:val="0"/>
      <w:marBottom w:val="0"/>
      <w:divBdr>
        <w:top w:val="none" w:sz="0" w:space="0" w:color="auto"/>
        <w:left w:val="none" w:sz="0" w:space="0" w:color="auto"/>
        <w:bottom w:val="none" w:sz="0" w:space="0" w:color="auto"/>
        <w:right w:val="none" w:sz="0" w:space="0" w:color="auto"/>
      </w:divBdr>
    </w:div>
    <w:div w:id="1251889336">
      <w:bodyDiv w:val="1"/>
      <w:marLeft w:val="0"/>
      <w:marRight w:val="0"/>
      <w:marTop w:val="0"/>
      <w:marBottom w:val="0"/>
      <w:divBdr>
        <w:top w:val="none" w:sz="0" w:space="0" w:color="auto"/>
        <w:left w:val="none" w:sz="0" w:space="0" w:color="auto"/>
        <w:bottom w:val="none" w:sz="0" w:space="0" w:color="auto"/>
        <w:right w:val="none" w:sz="0" w:space="0" w:color="auto"/>
      </w:divBdr>
    </w:div>
    <w:div w:id="1554390504">
      <w:bodyDiv w:val="1"/>
      <w:marLeft w:val="0"/>
      <w:marRight w:val="0"/>
      <w:marTop w:val="0"/>
      <w:marBottom w:val="0"/>
      <w:divBdr>
        <w:top w:val="none" w:sz="0" w:space="0" w:color="auto"/>
        <w:left w:val="none" w:sz="0" w:space="0" w:color="auto"/>
        <w:bottom w:val="none" w:sz="0" w:space="0" w:color="auto"/>
        <w:right w:val="none" w:sz="0" w:space="0" w:color="auto"/>
      </w:divBdr>
    </w:div>
    <w:div w:id="1708602111">
      <w:bodyDiv w:val="1"/>
      <w:marLeft w:val="0"/>
      <w:marRight w:val="0"/>
      <w:marTop w:val="0"/>
      <w:marBottom w:val="0"/>
      <w:divBdr>
        <w:top w:val="none" w:sz="0" w:space="0" w:color="auto"/>
        <w:left w:val="none" w:sz="0" w:space="0" w:color="auto"/>
        <w:bottom w:val="none" w:sz="0" w:space="0" w:color="auto"/>
        <w:right w:val="none" w:sz="0" w:space="0" w:color="auto"/>
      </w:divBdr>
    </w:div>
    <w:div w:id="2053071516">
      <w:bodyDiv w:val="1"/>
      <w:marLeft w:val="0"/>
      <w:marRight w:val="0"/>
      <w:marTop w:val="0"/>
      <w:marBottom w:val="0"/>
      <w:divBdr>
        <w:top w:val="none" w:sz="0" w:space="0" w:color="auto"/>
        <w:left w:val="none" w:sz="0" w:space="0" w:color="auto"/>
        <w:bottom w:val="none" w:sz="0" w:space="0" w:color="auto"/>
        <w:right w:val="none" w:sz="0" w:space="0" w:color="auto"/>
      </w:divBdr>
    </w:div>
    <w:div w:id="209828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hart" Target="charts/chart1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Capacitacion10-08\Desktop\AB\estadisticas.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Capacitacion10-08\Desktop\AB\estadisticas.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Capacitacion10-08\Desktop\AB\estadisticas.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Capacitacion10-08\Desktop\AB\estadisticas.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Capacitacion10-08\Desktop\AB\estadisticas.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C:\Users\Capacitacion10-08\Desktop\AB\estadisticas.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oleObject" Target="file:///C:\Users\Capacitacion10-08\Desktop\AB\estadisticas.xlsx"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oleObject" Target="file:///C:\Users\Capacitacion10-08\Desktop\AB\estadisticas.xlsx" TargetMode="Externa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9.xml"/><Relationship Id="rId1" Type="http://schemas.openxmlformats.org/officeDocument/2006/relationships/oleObject" Target="file:///C:\Users\Capacitacion10-08\Desktop\AB\estadistica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Capacitacion10-08\Desktop\AB\cuadros%2030-07-15%20proyecci&#243;n.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Capacitacion10-08\Desktop\AB\cuadros%2030-07-15%20proyecci&#243;n.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Capacitacion10-08\Desktop\AB\cuadros%2030-07-15%20proyecci&#243;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r>
              <a:rPr lang="es-ES" sz="1200" b="1" i="0" cap="all" baseline="0">
                <a:solidFill>
                  <a:sysClr val="windowText" lastClr="000000"/>
                </a:solidFill>
                <a:effectLst/>
              </a:rPr>
              <a:t>dISTritos judiciales sin oralidad -ley 1395 de 2010</a:t>
            </a:r>
            <a:endParaRPr lang="es-CO" sz="1200" b="1">
              <a:solidFill>
                <a:sysClr val="windowText" lastClr="000000"/>
              </a:solidFill>
              <a:effectLst/>
            </a:endParaRPr>
          </a:p>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r>
              <a:rPr lang="es-ES" sz="1200">
                <a:solidFill>
                  <a:sysClr val="windowText" lastClr="000000"/>
                </a:solidFill>
              </a:rPr>
              <a:t>Infraestructura física-SALAS DE AudiENCIAS </a:t>
            </a:r>
          </a:p>
        </c:rich>
      </c:tx>
      <c:layout>
        <c:manualLayout>
          <c:xMode val="edge"/>
          <c:yMode val="edge"/>
          <c:x val="0.15697340487306352"/>
          <c:y val="2.1688053497198625E-2"/>
        </c:manualLayout>
      </c:layout>
      <c:overlay val="0"/>
      <c:spPr>
        <a:noFill/>
        <a:ln>
          <a:noFill/>
        </a:ln>
        <a:effectLst/>
      </c:spPr>
    </c:title>
    <c:autoTitleDeleted val="0"/>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Hoja1!$B$4</c:f>
              <c:strCache>
                <c:ptCount val="1"/>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layout>
                <c:manualLayout>
                  <c:x val="1.0619004482846722E-2"/>
                  <c:y val="-0.16021680216802173"/>
                </c:manualLayout>
              </c:layout>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1"/>
                      </a:solidFill>
                      <a:effectLst/>
                      <a:latin typeface="+mn-lt"/>
                      <a:ea typeface="+mn-ea"/>
                      <a:cs typeface="+mn-cs"/>
                    </a:defRPr>
                  </a:pPr>
                  <a:endParaRPr lang="es-CO"/>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
            <c:dLbl>
              <c:idx val="1"/>
              <c:delete val="1"/>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
            <c:dLbl>
              <c:idx val="2"/>
              <c:delete val="1"/>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a:lstStyle/>
              <a:p>
                <a:pPr>
                  <a:defRPr lang="es-CO"/>
                </a:pPr>
                <a:endParaRPr lang="es-CO"/>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Hoja1!$C$3:$E$3</c:f>
              <c:strCache>
                <c:ptCount val="3"/>
                <c:pt idx="0">
                  <c:v>DEFICIENTE</c:v>
                </c:pt>
                <c:pt idx="1">
                  <c:v>INSUFICIENTE</c:v>
                </c:pt>
                <c:pt idx="2">
                  <c:v>EFICIENTE</c:v>
                </c:pt>
              </c:strCache>
            </c:strRef>
          </c:cat>
          <c:val>
            <c:numRef>
              <c:f>Hoja1!$C$4:$E$4</c:f>
              <c:numCache>
                <c:formatCode>General</c:formatCode>
                <c:ptCount val="3"/>
                <c:pt idx="0">
                  <c:v>9</c:v>
                </c:pt>
                <c:pt idx="1">
                  <c:v>0</c:v>
                </c:pt>
                <c:pt idx="2">
                  <c:v>0</c:v>
                </c:pt>
              </c:numCache>
            </c:numRef>
          </c:val>
        </c:ser>
        <c:dLbls>
          <c:showLegendKey val="0"/>
          <c:showVal val="0"/>
          <c:showCatName val="0"/>
          <c:showSerName val="0"/>
          <c:showPercent val="1"/>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r>
              <a:rPr lang="es-ES" sz="1200" b="1" i="0" cap="all" baseline="0">
                <a:solidFill>
                  <a:sysClr val="windowText" lastClr="000000"/>
                </a:solidFill>
                <a:effectLst/>
              </a:rPr>
              <a:t>dISTritos judiciales CON oralidad -ley 1395 de 2010</a:t>
            </a:r>
            <a:endParaRPr lang="es-CO" sz="1200">
              <a:solidFill>
                <a:sysClr val="windowText" lastClr="000000"/>
              </a:solidFill>
              <a:effectLst/>
            </a:endParaRPr>
          </a:p>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r>
              <a:rPr lang="es-ES" sz="1200" b="1" i="0" cap="all" baseline="0">
                <a:solidFill>
                  <a:sysClr val="windowText" lastClr="000000"/>
                </a:solidFill>
                <a:effectLst/>
              </a:rPr>
              <a:t>Infraestructura física-SALAS DE AudiENCIAS </a:t>
            </a:r>
            <a:endParaRPr lang="es-CO" sz="1200">
              <a:solidFill>
                <a:sysClr val="windowText" lastClr="000000"/>
              </a:solidFill>
              <a:effectLst/>
            </a:endParaRPr>
          </a:p>
        </c:rich>
      </c:tx>
      <c:overlay val="0"/>
      <c:spPr>
        <a:noFill/>
        <a:ln>
          <a:noFill/>
        </a:ln>
        <a:effectLst/>
      </c:spPr>
    </c:title>
    <c:autoTitleDeleted val="0"/>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807769512339123E-2"/>
          <c:y val="0.1709741550695825"/>
          <c:w val="0.94808259587020638"/>
          <c:h val="0.78211382113821137"/>
        </c:manualLayout>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tx>
                <c:rich>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1"/>
                        </a:solidFill>
                        <a:effectLst/>
                        <a:latin typeface="+mn-lt"/>
                        <a:ea typeface="+mn-ea"/>
                        <a:cs typeface="+mn-cs"/>
                      </a:defRPr>
                    </a:pPr>
                    <a:r>
                      <a:rPr lang="en-US"/>
                      <a:t>DEFICIENTE
34%</a:t>
                    </a:r>
                  </a:p>
                </c:rich>
              </c:tx>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
            <c:dLbl>
              <c:idx val="1"/>
              <c:tx>
                <c:rich>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2"/>
                        </a:solidFill>
                        <a:effectLst/>
                        <a:latin typeface="+mn-lt"/>
                        <a:ea typeface="+mn-ea"/>
                        <a:cs typeface="+mn-cs"/>
                      </a:defRPr>
                    </a:pPr>
                    <a:r>
                      <a:rPr lang="es-CO"/>
                      <a:t>INSUFICIENTE
66%</a:t>
                    </a:r>
                  </a:p>
                </c:rich>
              </c:tx>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1"/>
              <c:showBubbleSize val="0"/>
            </c:dLbl>
            <c:dLbl>
              <c:idx val="2"/>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3"/>
                      </a:solidFill>
                      <a:effectLst/>
                      <a:latin typeface="+mn-lt"/>
                      <a:ea typeface="+mn-ea"/>
                      <a:cs typeface="+mn-cs"/>
                    </a:defRPr>
                  </a:pPr>
                  <a:endParaRPr lang="es-CO"/>
                </a:p>
              </c:txPr>
              <c:dLblPos val="inEnd"/>
              <c:showLegendKey val="0"/>
              <c:showVal val="0"/>
              <c:showCatName val="1"/>
              <c:showSerName val="0"/>
              <c:showPercent val="1"/>
              <c:showBubbleSize val="0"/>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a:lstStyle/>
              <a:p>
                <a:pPr>
                  <a:defRPr lang="es-CO"/>
                </a:pPr>
                <a:endParaRPr lang="es-CO"/>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Hoja1!$C$18:$E$18</c:f>
              <c:strCache>
                <c:ptCount val="3"/>
                <c:pt idx="0">
                  <c:v>DEFICIENTE</c:v>
                </c:pt>
                <c:pt idx="1">
                  <c:v>INSUFICIENTE</c:v>
                </c:pt>
                <c:pt idx="2">
                  <c:v>EFICIENTE</c:v>
                </c:pt>
              </c:strCache>
            </c:strRef>
          </c:cat>
          <c:val>
            <c:numRef>
              <c:f>Hoja1!$C$19:$E$19</c:f>
              <c:numCache>
                <c:formatCode>General</c:formatCode>
                <c:ptCount val="3"/>
                <c:pt idx="0">
                  <c:v>4</c:v>
                </c:pt>
                <c:pt idx="1">
                  <c:v>7</c:v>
                </c:pt>
                <c:pt idx="2">
                  <c:v>0</c:v>
                </c:pt>
              </c:numCache>
            </c:numRef>
          </c:val>
        </c:ser>
        <c:dLbls>
          <c:showLegendKey val="0"/>
          <c:showVal val="0"/>
          <c:showCatName val="0"/>
          <c:showSerName val="0"/>
          <c:showPercent val="0"/>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r>
              <a:rPr lang="es-ES" sz="1200" b="1" i="0" cap="all" baseline="0">
                <a:solidFill>
                  <a:sysClr val="windowText" lastClr="000000"/>
                </a:solidFill>
                <a:effectLst/>
              </a:rPr>
              <a:t>dISTritos judiciales sin oralidad -ley 1395 de 2010</a:t>
            </a:r>
            <a:endParaRPr lang="es-CO" sz="1200">
              <a:solidFill>
                <a:sysClr val="windowText" lastClr="000000"/>
              </a:solidFill>
              <a:effectLst/>
            </a:endParaRPr>
          </a:p>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r>
              <a:rPr lang="es-ES" sz="1200" b="1">
                <a:solidFill>
                  <a:sysClr val="windowText" lastClr="000000"/>
                </a:solidFill>
              </a:rPr>
              <a:t>aDECUACIÓN TecnolÓgICA: eXPEDIENTE DIGITAL, EQUIPOS DE COMPUTO, AUDIO Y VIDEO</a:t>
            </a:r>
          </a:p>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r>
              <a:rPr lang="es-ES" sz="1050" b="1"/>
              <a:t> </a:t>
            </a:r>
          </a:p>
        </c:rich>
      </c:tx>
      <c:layout>
        <c:manualLayout>
          <c:xMode val="edge"/>
          <c:yMode val="edge"/>
          <c:x val="0.16898520428309294"/>
          <c:y val="2.1703992224178202E-2"/>
        </c:manualLayout>
      </c:layout>
      <c:overlay val="0"/>
      <c:spPr>
        <a:noFill/>
        <a:ln>
          <a:noFill/>
        </a:ln>
        <a:effectLst/>
      </c:spPr>
    </c:title>
    <c:autoTitleDeleted val="0"/>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1"/>
                      </a:solidFill>
                      <a:effectLst/>
                      <a:latin typeface="+mn-lt"/>
                      <a:ea typeface="+mn-ea"/>
                      <a:cs typeface="+mn-cs"/>
                    </a:defRPr>
                  </a:pPr>
                  <a:endParaRPr lang="es-CO"/>
                </a:p>
              </c:txPr>
              <c:dLblPos val="inEnd"/>
              <c:showLegendKey val="0"/>
              <c:showVal val="0"/>
              <c:showCatName val="1"/>
              <c:showSerName val="0"/>
              <c:showPercent val="1"/>
              <c:showBubbleSize val="0"/>
            </c:dLbl>
            <c:dLbl>
              <c:idx val="1"/>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2"/>
                      </a:solidFill>
                      <a:effectLst/>
                      <a:latin typeface="+mn-lt"/>
                      <a:ea typeface="+mn-ea"/>
                      <a:cs typeface="+mn-cs"/>
                    </a:defRPr>
                  </a:pPr>
                  <a:endParaRPr lang="es-CO"/>
                </a:p>
              </c:txPr>
              <c:dLblPos val="inEnd"/>
              <c:showLegendKey val="0"/>
              <c:showVal val="0"/>
              <c:showCatName val="1"/>
              <c:showSerName val="0"/>
              <c:showPercent val="1"/>
              <c:showBubbleSize val="0"/>
            </c:dLbl>
            <c:dLbl>
              <c:idx val="2"/>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3"/>
                      </a:solidFill>
                      <a:effectLst/>
                      <a:latin typeface="+mn-lt"/>
                      <a:ea typeface="+mn-ea"/>
                      <a:cs typeface="+mn-cs"/>
                    </a:defRPr>
                  </a:pPr>
                  <a:endParaRPr lang="es-CO"/>
                </a:p>
              </c:txPr>
              <c:dLblPos val="inEnd"/>
              <c:showLegendKey val="0"/>
              <c:showVal val="0"/>
              <c:showCatName val="1"/>
              <c:showSerName val="0"/>
              <c:showPercent val="1"/>
              <c:showBubbleSize val="0"/>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a:lstStyle/>
              <a:p>
                <a:pPr>
                  <a:defRPr lang="es-CO"/>
                </a:pPr>
                <a:endParaRPr lang="es-CO"/>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Hoja1!$C$35:$E$35</c:f>
              <c:strCache>
                <c:ptCount val="3"/>
                <c:pt idx="0">
                  <c:v>DEFICIENTE</c:v>
                </c:pt>
                <c:pt idx="1">
                  <c:v>INSUFICIENTE</c:v>
                </c:pt>
                <c:pt idx="2">
                  <c:v>EFICIENTE</c:v>
                </c:pt>
              </c:strCache>
            </c:strRef>
          </c:cat>
          <c:val>
            <c:numRef>
              <c:f>Hoja1!$C$36:$E$36</c:f>
              <c:numCache>
                <c:formatCode>General</c:formatCode>
                <c:ptCount val="3"/>
                <c:pt idx="0">
                  <c:v>7</c:v>
                </c:pt>
                <c:pt idx="1">
                  <c:v>0</c:v>
                </c:pt>
                <c:pt idx="2">
                  <c:v>2</c:v>
                </c:pt>
              </c:numCache>
            </c:numRef>
          </c:val>
        </c:ser>
        <c:dLbls>
          <c:showLegendKey val="0"/>
          <c:showVal val="0"/>
          <c:showCatName val="0"/>
          <c:showSerName val="0"/>
          <c:showPercent val="0"/>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r>
              <a:rPr lang="es-ES" sz="1050" b="1" i="0" cap="all" baseline="0">
                <a:solidFill>
                  <a:sysClr val="windowText" lastClr="000000"/>
                </a:solidFill>
                <a:effectLst/>
              </a:rPr>
              <a:t>aDECUACIÓN TecnolÓgICA: eXPEDIENTE DIGITAL, EQUIPOS DE COMPUTO, AUDIO Y VIDEO</a:t>
            </a:r>
            <a:endParaRPr lang="es-CO" sz="1050">
              <a:solidFill>
                <a:sysClr val="windowText" lastClr="000000"/>
              </a:solidFill>
              <a:effectLst/>
            </a:endParaRPr>
          </a:p>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r>
              <a:rPr lang="es-ES">
                <a:solidFill>
                  <a:sysClr val="windowText" lastClr="000000"/>
                </a:solidFill>
              </a:rPr>
              <a:t> </a:t>
            </a:r>
            <a:r>
              <a:rPr lang="es-ES" sz="1050" b="1" i="0" cap="all" baseline="0">
                <a:solidFill>
                  <a:sysClr val="windowText" lastClr="000000"/>
                </a:solidFill>
                <a:effectLst/>
              </a:rPr>
              <a:t>dISTritos judiciales CON oralidad -ley 1395 de 2010</a:t>
            </a:r>
            <a:endParaRPr lang="es-CO" sz="1050">
              <a:solidFill>
                <a:sysClr val="windowText" lastClr="000000"/>
              </a:solidFill>
              <a:effectLst/>
            </a:endParaRPr>
          </a:p>
          <a:p>
            <a:pPr marL="0" marR="0" indent="0" algn="ctr" defTabSz="914400" rtl="0" eaLnBrk="1" fontAlgn="auto" latinLnBrk="0" hangingPunct="1">
              <a:lnSpc>
                <a:spcPct val="100000"/>
              </a:lnSpc>
              <a:spcBef>
                <a:spcPts val="0"/>
              </a:spcBef>
              <a:spcAft>
                <a:spcPts val="0"/>
              </a:spcAft>
              <a:buClrTx/>
              <a:buSzTx/>
              <a:buFontTx/>
              <a:buNone/>
              <a:tabLst/>
              <a:defRPr lang="es-CO" sz="1800" b="1" i="0" u="none" strike="noStrike" kern="1200" cap="all" baseline="0">
                <a:solidFill>
                  <a:sysClr val="windowText" lastClr="000000">
                    <a:lumMod val="65000"/>
                    <a:lumOff val="35000"/>
                  </a:sysClr>
                </a:solidFill>
                <a:latin typeface="+mn-lt"/>
                <a:ea typeface="+mn-ea"/>
                <a:cs typeface="+mn-cs"/>
              </a:defRPr>
            </a:pPr>
            <a:endParaRPr lang="es-ES"/>
          </a:p>
        </c:rich>
      </c:tx>
      <c:overlay val="0"/>
      <c:spPr>
        <a:noFill/>
        <a:ln>
          <a:noFill/>
        </a:ln>
        <a:effectLst/>
      </c:spPr>
    </c:title>
    <c:autoTitleDeleted val="0"/>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1889621469465245"/>
          <c:w val="1"/>
          <c:h val="0.74158684258087859"/>
        </c:manualLayout>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tx>
                <c:rich>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1"/>
                        </a:solidFill>
                        <a:effectLst/>
                        <a:latin typeface="+mn-lt"/>
                        <a:ea typeface="+mn-ea"/>
                        <a:cs typeface="+mn-cs"/>
                      </a:defRPr>
                    </a:pPr>
                    <a:r>
                      <a:rPr lang="es-CO"/>
                      <a:t>DEFICIENTE
55%</a:t>
                    </a:r>
                  </a:p>
                </c:rich>
              </c:tx>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1"/>
              <c:showBubbleSize val="0"/>
            </c:dLbl>
            <c:dLbl>
              <c:idx val="1"/>
              <c:tx>
                <c:rich>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2"/>
                        </a:solidFill>
                        <a:effectLst/>
                        <a:latin typeface="+mn-lt"/>
                        <a:ea typeface="+mn-ea"/>
                        <a:cs typeface="+mn-cs"/>
                      </a:defRPr>
                    </a:pPr>
                    <a:r>
                      <a:rPr lang="en-US"/>
                      <a:t>INSUFICIENTE
45%</a:t>
                    </a:r>
                  </a:p>
                </c:rich>
              </c:tx>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1"/>
              <c:showBubbleSize val="0"/>
            </c:dLbl>
            <c:dLbl>
              <c:idx val="2"/>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3"/>
                      </a:solidFill>
                      <a:effectLst/>
                      <a:latin typeface="+mn-lt"/>
                      <a:ea typeface="+mn-ea"/>
                      <a:cs typeface="+mn-cs"/>
                    </a:defRPr>
                  </a:pPr>
                  <a:endParaRPr lang="es-CO"/>
                </a:p>
              </c:txPr>
              <c:dLblPos val="inEnd"/>
              <c:showLegendKey val="0"/>
              <c:showVal val="0"/>
              <c:showCatName val="1"/>
              <c:showSerName val="0"/>
              <c:showPercent val="1"/>
              <c:showBubbleSize val="0"/>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a:lstStyle/>
              <a:p>
                <a:pPr>
                  <a:defRPr lang="es-CO"/>
                </a:pPr>
                <a:endParaRPr lang="es-CO"/>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Hoja1!$C$48:$E$48</c:f>
              <c:strCache>
                <c:ptCount val="3"/>
                <c:pt idx="0">
                  <c:v>DEFICIENTE</c:v>
                </c:pt>
                <c:pt idx="1">
                  <c:v>INSUFICIENTE</c:v>
                </c:pt>
                <c:pt idx="2">
                  <c:v>EFICIENTE</c:v>
                </c:pt>
              </c:strCache>
            </c:strRef>
          </c:cat>
          <c:val>
            <c:numRef>
              <c:f>Hoja1!$C$49:$E$49</c:f>
              <c:numCache>
                <c:formatCode>General</c:formatCode>
                <c:ptCount val="3"/>
                <c:pt idx="0">
                  <c:v>6</c:v>
                </c:pt>
                <c:pt idx="1">
                  <c:v>5</c:v>
                </c:pt>
                <c:pt idx="2">
                  <c:v>0</c:v>
                </c:pt>
              </c:numCache>
            </c:numRef>
          </c:val>
        </c:ser>
        <c:dLbls>
          <c:showLegendKey val="0"/>
          <c:showVal val="0"/>
          <c:showCatName val="0"/>
          <c:showSerName val="0"/>
          <c:showPercent val="0"/>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CO" sz="1800" b="1" i="0" u="none" strike="noStrike" kern="1200" cap="all" baseline="0">
                <a:solidFill>
                  <a:schemeClr val="tx1">
                    <a:lumMod val="65000"/>
                    <a:lumOff val="35000"/>
                  </a:schemeClr>
                </a:solidFill>
                <a:latin typeface="+mn-lt"/>
                <a:ea typeface="+mn-ea"/>
                <a:cs typeface="+mn-cs"/>
              </a:defRPr>
            </a:pPr>
            <a:r>
              <a:rPr lang="es-ES" sz="1200">
                <a:solidFill>
                  <a:sysClr val="windowText" lastClr="000000"/>
                </a:solidFill>
              </a:rPr>
              <a:t>Capacitación</a:t>
            </a:r>
          </a:p>
        </c:rich>
      </c:tx>
      <c:overlay val="0"/>
      <c:spPr>
        <a:noFill/>
        <a:ln>
          <a:noFill/>
        </a:ln>
        <a:effectLst/>
      </c:spPr>
    </c:title>
    <c:autoTitleDeleted val="0"/>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1"/>
                      </a:solidFill>
                      <a:effectLst/>
                      <a:latin typeface="+mn-lt"/>
                      <a:ea typeface="+mn-ea"/>
                      <a:cs typeface="+mn-cs"/>
                    </a:defRPr>
                  </a:pPr>
                  <a:endParaRPr lang="es-CO"/>
                </a:p>
              </c:txPr>
              <c:dLblPos val="inEnd"/>
              <c:showLegendKey val="0"/>
              <c:showVal val="0"/>
              <c:showCatName val="1"/>
              <c:showSerName val="0"/>
              <c:showPercent val="1"/>
              <c:showBubbleSize val="0"/>
            </c:dLbl>
            <c:dLbl>
              <c:idx val="1"/>
              <c:delete val="1"/>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
            <c:dLbl>
              <c:idx val="2"/>
              <c:delete val="1"/>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a:lstStyle/>
              <a:p>
                <a:pPr>
                  <a:defRPr lang="es-CO"/>
                </a:pPr>
                <a:endParaRPr lang="es-CO"/>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Hoja1!$C$66:$E$66</c:f>
              <c:strCache>
                <c:ptCount val="3"/>
                <c:pt idx="0">
                  <c:v>DEFICIENTE</c:v>
                </c:pt>
                <c:pt idx="1">
                  <c:v>INSUFICIENTE</c:v>
                </c:pt>
                <c:pt idx="2">
                  <c:v>EFICIENTE</c:v>
                </c:pt>
              </c:strCache>
            </c:strRef>
          </c:cat>
          <c:val>
            <c:numRef>
              <c:f>Hoja1!$C$67:$E$67</c:f>
              <c:numCache>
                <c:formatCode>General</c:formatCode>
                <c:ptCount val="3"/>
                <c:pt idx="0">
                  <c:v>9</c:v>
                </c:pt>
                <c:pt idx="1">
                  <c:v>0</c:v>
                </c:pt>
                <c:pt idx="2">
                  <c:v>0</c:v>
                </c:pt>
              </c:numCache>
            </c:numRef>
          </c:val>
        </c:ser>
        <c:dLbls>
          <c:showLegendKey val="0"/>
          <c:showVal val="0"/>
          <c:showCatName val="0"/>
          <c:showSerName val="0"/>
          <c:showPercent val="0"/>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CO" sz="1800" b="1" i="0" u="none" strike="noStrike" kern="1200" cap="all" baseline="0">
                <a:solidFill>
                  <a:schemeClr val="tx1">
                    <a:lumMod val="65000"/>
                    <a:lumOff val="35000"/>
                  </a:schemeClr>
                </a:solidFill>
                <a:latin typeface="+mn-lt"/>
                <a:ea typeface="+mn-ea"/>
                <a:cs typeface="+mn-cs"/>
              </a:defRPr>
            </a:pPr>
            <a:r>
              <a:rPr lang="es-ES" sz="1200">
                <a:solidFill>
                  <a:sysClr val="windowText" lastClr="000000"/>
                </a:solidFill>
              </a:rPr>
              <a:t>Capacitación</a:t>
            </a:r>
          </a:p>
        </c:rich>
      </c:tx>
      <c:overlay val="0"/>
      <c:spPr>
        <a:noFill/>
        <a:ln>
          <a:noFill/>
        </a:ln>
        <a:effectLst/>
      </c:spPr>
    </c:title>
    <c:autoTitleDeleted val="0"/>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tx>
                <c:rich>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1"/>
                        </a:solidFill>
                        <a:effectLst/>
                        <a:latin typeface="+mn-lt"/>
                        <a:ea typeface="+mn-ea"/>
                        <a:cs typeface="+mn-cs"/>
                      </a:defRPr>
                    </a:pPr>
                    <a:r>
                      <a:rPr lang="es-CO"/>
                      <a:t>DEFICIENTE
90%</a:t>
                    </a:r>
                  </a:p>
                </c:rich>
              </c:tx>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1"/>
              <c:showBubbleSize val="0"/>
            </c:dLbl>
            <c:dLbl>
              <c:idx val="1"/>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2"/>
                      </a:solidFill>
                      <a:effectLst/>
                      <a:latin typeface="+mn-lt"/>
                      <a:ea typeface="+mn-ea"/>
                      <a:cs typeface="+mn-cs"/>
                    </a:defRPr>
                  </a:pPr>
                  <a:endParaRPr lang="es-CO"/>
                </a:p>
              </c:txPr>
              <c:dLblPos val="inEnd"/>
              <c:showLegendKey val="0"/>
              <c:showVal val="0"/>
              <c:showCatName val="1"/>
              <c:showSerName val="0"/>
              <c:showPercent val="1"/>
              <c:showBubbleSize val="0"/>
            </c:dLbl>
            <c:dLbl>
              <c:idx val="2"/>
              <c:tx>
                <c:rich>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3"/>
                        </a:solidFill>
                        <a:effectLst/>
                        <a:latin typeface="+mn-lt"/>
                        <a:ea typeface="+mn-ea"/>
                        <a:cs typeface="+mn-cs"/>
                      </a:defRPr>
                    </a:pPr>
                    <a:r>
                      <a:rPr lang="en-US"/>
                      <a:t>EFICIENTE
10%</a:t>
                    </a:r>
                  </a:p>
                </c:rich>
              </c:tx>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1"/>
              <c:showBubbleSize val="0"/>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a:lstStyle/>
              <a:p>
                <a:pPr>
                  <a:defRPr lang="es-CO"/>
                </a:pPr>
                <a:endParaRPr lang="es-CO"/>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Hoja1!$C$79:$E$79</c:f>
              <c:strCache>
                <c:ptCount val="3"/>
                <c:pt idx="0">
                  <c:v>DEFICIENTE</c:v>
                </c:pt>
                <c:pt idx="1">
                  <c:v>INSUFICIENTE</c:v>
                </c:pt>
                <c:pt idx="2">
                  <c:v>EFICIENTE</c:v>
                </c:pt>
              </c:strCache>
            </c:strRef>
          </c:cat>
          <c:val>
            <c:numRef>
              <c:f>Hoja1!$C$80:$E$80</c:f>
              <c:numCache>
                <c:formatCode>General</c:formatCode>
                <c:ptCount val="3"/>
                <c:pt idx="0">
                  <c:v>9</c:v>
                </c:pt>
                <c:pt idx="1">
                  <c:v>0</c:v>
                </c:pt>
                <c:pt idx="2">
                  <c:v>2</c:v>
                </c:pt>
              </c:numCache>
            </c:numRef>
          </c:val>
        </c:ser>
        <c:dLbls>
          <c:showLegendKey val="0"/>
          <c:showVal val="0"/>
          <c:showCatName val="0"/>
          <c:showSerName val="0"/>
          <c:showPercent val="0"/>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CO" sz="1800" b="1" i="0" u="none" strike="noStrike" kern="1200" cap="all" baseline="0">
                <a:solidFill>
                  <a:schemeClr val="tx1">
                    <a:lumMod val="65000"/>
                    <a:lumOff val="35000"/>
                  </a:schemeClr>
                </a:solidFill>
                <a:latin typeface="+mn-lt"/>
                <a:ea typeface="+mn-ea"/>
                <a:cs typeface="+mn-cs"/>
              </a:defRPr>
            </a:pPr>
            <a:r>
              <a:rPr lang="es-ES" sz="1200">
                <a:solidFill>
                  <a:sysClr val="windowText" lastClr="000000"/>
                </a:solidFill>
              </a:rPr>
              <a:t>Implementación medidas de descongestión</a:t>
            </a:r>
          </a:p>
        </c:rich>
      </c:tx>
      <c:overlay val="0"/>
      <c:spPr>
        <a:noFill/>
        <a:ln>
          <a:noFill/>
        </a:ln>
        <a:effectLst/>
      </c:spPr>
    </c:title>
    <c:autoTitleDeleted val="0"/>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7660465008245647E-2"/>
          <c:y val="0.26362255956031883"/>
          <c:w val="0.84724465233556789"/>
          <c:h val="0.64652742101435767"/>
        </c:manualLayout>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1"/>
                      </a:solidFill>
                      <a:effectLst/>
                      <a:latin typeface="+mn-lt"/>
                      <a:ea typeface="+mn-ea"/>
                      <a:cs typeface="+mn-cs"/>
                    </a:defRPr>
                  </a:pPr>
                  <a:endParaRPr lang="es-CO"/>
                </a:p>
              </c:txPr>
              <c:dLblPos val="outEnd"/>
              <c:showLegendKey val="0"/>
              <c:showVal val="0"/>
              <c:showCatName val="1"/>
              <c:showSerName val="0"/>
              <c:showPercent val="1"/>
              <c:showBubbleSize val="0"/>
            </c:dLbl>
            <c:dLbl>
              <c:idx val="1"/>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2"/>
                      </a:solidFill>
                      <a:effectLst/>
                      <a:latin typeface="+mn-lt"/>
                      <a:ea typeface="+mn-ea"/>
                      <a:cs typeface="+mn-cs"/>
                    </a:defRPr>
                  </a:pPr>
                  <a:endParaRPr lang="es-CO"/>
                </a:p>
              </c:txPr>
              <c:dLblPos val="outEnd"/>
              <c:showLegendKey val="0"/>
              <c:showVal val="0"/>
              <c:showCatName val="1"/>
              <c:showSerName val="0"/>
              <c:showPercent val="1"/>
              <c:showBubbleSize val="0"/>
            </c:dLbl>
            <c:dLbl>
              <c:idx val="2"/>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3"/>
                      </a:solidFill>
                      <a:effectLst/>
                      <a:latin typeface="+mn-lt"/>
                      <a:ea typeface="+mn-ea"/>
                      <a:cs typeface="+mn-cs"/>
                    </a:defRPr>
                  </a:pPr>
                  <a:endParaRPr lang="es-CO"/>
                </a:p>
              </c:txPr>
              <c:dLblPos val="outEnd"/>
              <c:showLegendKey val="0"/>
              <c:showVal val="0"/>
              <c:showCatName val="1"/>
              <c:showSerName val="0"/>
              <c:showPercent val="1"/>
              <c:showBubbleSize val="0"/>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a:lstStyle/>
              <a:p>
                <a:pPr>
                  <a:defRPr lang="es-CO"/>
                </a:pPr>
                <a:endParaRPr lang="es-CO"/>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Hoja1!$C$97:$E$97</c:f>
              <c:strCache>
                <c:ptCount val="3"/>
                <c:pt idx="0">
                  <c:v>DEFICIENTE</c:v>
                </c:pt>
                <c:pt idx="1">
                  <c:v>INSUFICIENTE</c:v>
                </c:pt>
                <c:pt idx="2">
                  <c:v>EFICIENTE</c:v>
                </c:pt>
              </c:strCache>
            </c:strRef>
          </c:cat>
          <c:val>
            <c:numRef>
              <c:f>Hoja1!$C$98:$E$98</c:f>
              <c:numCache>
                <c:formatCode>General</c:formatCode>
                <c:ptCount val="3"/>
                <c:pt idx="0">
                  <c:v>4</c:v>
                </c:pt>
                <c:pt idx="1">
                  <c:v>1</c:v>
                </c:pt>
                <c:pt idx="2">
                  <c:v>4</c:v>
                </c:pt>
              </c:numCache>
            </c:numRef>
          </c:val>
        </c:ser>
        <c:dLbls>
          <c:showLegendKey val="0"/>
          <c:showVal val="0"/>
          <c:showCatName val="0"/>
          <c:showSerName val="0"/>
          <c:showPercent val="0"/>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CO" sz="1800" b="1" i="0" u="none" strike="noStrike" kern="1200" cap="all" baseline="0">
                <a:solidFill>
                  <a:schemeClr val="tx1">
                    <a:lumMod val="65000"/>
                    <a:lumOff val="35000"/>
                  </a:schemeClr>
                </a:solidFill>
                <a:latin typeface="+mn-lt"/>
                <a:ea typeface="+mn-ea"/>
                <a:cs typeface="+mn-cs"/>
              </a:defRPr>
            </a:pPr>
            <a:r>
              <a:rPr lang="es-ES" sz="1200">
                <a:solidFill>
                  <a:sysClr val="windowText" lastClr="000000"/>
                </a:solidFill>
              </a:rPr>
              <a:t>Implementación medidas de descongestión</a:t>
            </a:r>
          </a:p>
        </c:rich>
      </c:tx>
      <c:overlay val="0"/>
      <c:spPr>
        <a:noFill/>
        <a:ln>
          <a:noFill/>
        </a:ln>
        <a:effectLst/>
      </c:spPr>
    </c:title>
    <c:autoTitleDeleted val="0"/>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layout>
                <c:manualLayout>
                  <c:x val="-8.2692866931456693E-2"/>
                  <c:y val="-0.45160318374837294"/>
                </c:manualLayout>
              </c:layout>
              <c:tx>
                <c:rich>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1"/>
                        </a:solidFill>
                        <a:effectLst/>
                        <a:latin typeface="+mn-lt"/>
                        <a:ea typeface="+mn-ea"/>
                        <a:cs typeface="+mn-cs"/>
                      </a:defRPr>
                    </a:pPr>
                    <a:r>
                      <a:rPr lang="en-US"/>
                      <a:t>DEFICIENTE
66%</a:t>
                    </a:r>
                  </a:p>
                </c:rich>
              </c:tx>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bestFit"/>
              <c:showLegendKey val="0"/>
              <c:showVal val="0"/>
              <c:showCatName val="1"/>
              <c:showSerName val="0"/>
              <c:showPercent val="1"/>
              <c:showBubbleSize val="0"/>
            </c:dLbl>
            <c:dLbl>
              <c:idx val="1"/>
              <c:tx>
                <c:rich>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2"/>
                        </a:solidFill>
                        <a:effectLst/>
                        <a:latin typeface="+mn-lt"/>
                        <a:ea typeface="+mn-ea"/>
                        <a:cs typeface="+mn-cs"/>
                      </a:defRPr>
                    </a:pPr>
                    <a:r>
                      <a:rPr lang="en-US"/>
                      <a:t>INSUFICIENTE
7%</a:t>
                    </a:r>
                  </a:p>
                </c:rich>
              </c:tx>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outEnd"/>
              <c:showLegendKey val="0"/>
              <c:showVal val="0"/>
              <c:showCatName val="1"/>
              <c:showSerName val="0"/>
              <c:showPercent val="1"/>
              <c:showBubbleSize val="0"/>
            </c:dLbl>
            <c:dLbl>
              <c:idx val="2"/>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3"/>
                      </a:solidFill>
                      <a:effectLst/>
                      <a:latin typeface="+mn-lt"/>
                      <a:ea typeface="+mn-ea"/>
                      <a:cs typeface="+mn-cs"/>
                    </a:defRPr>
                  </a:pPr>
                  <a:endParaRPr lang="es-CO"/>
                </a:p>
              </c:txPr>
              <c:dLblPos val="outEnd"/>
              <c:showLegendKey val="0"/>
              <c:showVal val="0"/>
              <c:showCatName val="1"/>
              <c:showSerName val="0"/>
              <c:showPercent val="1"/>
              <c:showBubbleSize val="0"/>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a:lstStyle/>
              <a:p>
                <a:pPr>
                  <a:defRPr lang="es-CO"/>
                </a:pPr>
                <a:endParaRPr lang="es-CO"/>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Hoja1!$C$110:$E$110</c:f>
              <c:strCache>
                <c:ptCount val="3"/>
                <c:pt idx="0">
                  <c:v>DEFICIENTE</c:v>
                </c:pt>
                <c:pt idx="1">
                  <c:v>INSUFICIENTE</c:v>
                </c:pt>
                <c:pt idx="2">
                  <c:v>EFICIENTE</c:v>
                </c:pt>
              </c:strCache>
            </c:strRef>
          </c:cat>
          <c:val>
            <c:numRef>
              <c:f>Hoja1!$C$111:$E$111</c:f>
              <c:numCache>
                <c:formatCode>General</c:formatCode>
                <c:ptCount val="3"/>
                <c:pt idx="0">
                  <c:v>7</c:v>
                </c:pt>
                <c:pt idx="1">
                  <c:v>1</c:v>
                </c:pt>
                <c:pt idx="2">
                  <c:v>3</c:v>
                </c:pt>
              </c:numCache>
            </c:numRef>
          </c:val>
        </c:ser>
        <c:dLbls>
          <c:showLegendKey val="0"/>
          <c:showVal val="0"/>
          <c:showCatName val="0"/>
          <c:showSerName val="0"/>
          <c:showPercent val="0"/>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CO" sz="1800" b="1" i="0" u="none" strike="noStrike" kern="1200" cap="all" baseline="0">
                <a:solidFill>
                  <a:schemeClr val="tx1">
                    <a:lumMod val="65000"/>
                    <a:lumOff val="35000"/>
                  </a:schemeClr>
                </a:solidFill>
                <a:latin typeface="+mn-lt"/>
                <a:ea typeface="+mn-ea"/>
                <a:cs typeface="+mn-cs"/>
              </a:defRPr>
            </a:pPr>
            <a:r>
              <a:rPr lang="es-ES" sz="1200" b="1">
                <a:solidFill>
                  <a:sysClr val="windowText" lastClr="000000"/>
                </a:solidFill>
              </a:rPr>
              <a:t>Creación de cargos</a:t>
            </a:r>
          </a:p>
        </c:rich>
      </c:tx>
      <c:overlay val="0"/>
      <c:spPr>
        <a:noFill/>
        <a:ln>
          <a:noFill/>
        </a:ln>
        <a:effectLst/>
      </c:spPr>
    </c:title>
    <c:autoTitleDeleted val="0"/>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Lbls>
            <c:dLbl>
              <c:idx val="0"/>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lang="es-CO" sz="1000" b="0" i="0" u="none" strike="noStrike" kern="1200" baseline="0">
                      <a:solidFill>
                        <a:schemeClr val="accent1"/>
                      </a:solidFill>
                      <a:effectLst/>
                      <a:latin typeface="+mn-lt"/>
                      <a:ea typeface="+mn-ea"/>
                      <a:cs typeface="+mn-cs"/>
                    </a:defRPr>
                  </a:pPr>
                  <a:endParaRPr lang="es-CO"/>
                </a:p>
              </c:txPr>
              <c:dLblPos val="outEnd"/>
              <c:showLegendKey val="0"/>
              <c:showVal val="0"/>
              <c:showCatName val="1"/>
              <c:showSerName val="0"/>
              <c:showPercent val="1"/>
              <c:showBubbleSize val="0"/>
            </c:dLbl>
            <c:dLbl>
              <c:idx val="1"/>
              <c:delete val="1"/>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
            <c:dLbl>
              <c:idx val="2"/>
              <c:delete val="1"/>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a:lstStyle/>
              <a:p>
                <a:pPr>
                  <a:defRPr lang="es-CO"/>
                </a:pPr>
                <a:endParaRPr lang="es-CO"/>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Hoja1!$C$128:$E$128</c:f>
              <c:strCache>
                <c:ptCount val="3"/>
                <c:pt idx="0">
                  <c:v>DEFICIENTE</c:v>
                </c:pt>
                <c:pt idx="1">
                  <c:v>INSUFICIENTE</c:v>
                </c:pt>
                <c:pt idx="2">
                  <c:v>EFICIENTE</c:v>
                </c:pt>
              </c:strCache>
            </c:strRef>
          </c:cat>
          <c:val>
            <c:numRef>
              <c:f>Hoja1!$C$129:$E$129</c:f>
              <c:numCache>
                <c:formatCode>General</c:formatCode>
                <c:ptCount val="3"/>
                <c:pt idx="0">
                  <c:v>9</c:v>
                </c:pt>
                <c:pt idx="1">
                  <c:v>0</c:v>
                </c:pt>
                <c:pt idx="2">
                  <c:v>0</c:v>
                </c:pt>
              </c:numCache>
            </c:numRef>
          </c:val>
        </c:ser>
        <c:dLbls>
          <c:showLegendKey val="0"/>
          <c:showVal val="0"/>
          <c:showCatName val="1"/>
          <c:showSerName val="0"/>
          <c:showPercent val="0"/>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lang="es-CO" sz="1400" b="0" i="0" u="none" strike="noStrike" kern="1200" spc="0" baseline="0">
                <a:solidFill>
                  <a:sysClr val="windowText" lastClr="000000">
                    <a:lumMod val="65000"/>
                    <a:lumOff val="35000"/>
                  </a:sysClr>
                </a:solidFill>
                <a:latin typeface="+mn-lt"/>
                <a:ea typeface="+mn-ea"/>
                <a:cs typeface="+mn-cs"/>
              </a:defRPr>
            </a:pPr>
            <a:r>
              <a:rPr lang="es-ES" sz="1200" b="1" i="0" cap="all" baseline="0">
                <a:solidFill>
                  <a:sysClr val="windowText" lastClr="000000"/>
                </a:solidFill>
                <a:effectLst/>
              </a:rPr>
              <a:t>Estadística de Reparto Juzgados CIVILES del Circuito de Oralidad FRENTE A LA CARGA RAZONABLE</a:t>
            </a:r>
            <a:endParaRPr lang="es-ES" sz="1200" b="1">
              <a:solidFill>
                <a:sysClr val="windowText" lastClr="000000"/>
              </a:solidFill>
              <a:effectLst/>
            </a:endParaRPr>
          </a:p>
        </c:rich>
      </c:tx>
      <c:overlay val="0"/>
      <c:spPr>
        <a:noFill/>
        <a:ln>
          <a:noFill/>
        </a:ln>
        <a:effectLst/>
      </c:spPr>
    </c:title>
    <c:autoTitleDeleted val="0"/>
    <c:plotArea>
      <c:layout/>
      <c:barChart>
        <c:barDir val="col"/>
        <c:grouping val="clustered"/>
        <c:varyColors val="0"/>
        <c:ser>
          <c:idx val="0"/>
          <c:order val="0"/>
          <c:tx>
            <c:strRef>
              <c:f>'Circuito de Oralidad'!$U$19</c:f>
              <c:strCache>
                <c:ptCount val="1"/>
                <c:pt idx="0">
                  <c:v>procesos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s-CO"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'Circuito de Oralidad'!$T$20:$T$29</c:f>
              <c:strCache>
                <c:ptCount val="10"/>
                <c:pt idx="0">
                  <c:v>Juzgado 01</c:v>
                </c:pt>
                <c:pt idx="1">
                  <c:v>Juzgado 17</c:v>
                </c:pt>
                <c:pt idx="2">
                  <c:v>Juzgado 20</c:v>
                </c:pt>
                <c:pt idx="3">
                  <c:v>Juzgado 31</c:v>
                </c:pt>
                <c:pt idx="4">
                  <c:v>Juzgado32</c:v>
                </c:pt>
                <c:pt idx="5">
                  <c:v>Juzgado34</c:v>
                </c:pt>
                <c:pt idx="6">
                  <c:v>Juzgado 37</c:v>
                </c:pt>
                <c:pt idx="7">
                  <c:v>Juzgado 38</c:v>
                </c:pt>
                <c:pt idx="8">
                  <c:v>Juzgado 43</c:v>
                </c:pt>
                <c:pt idx="9">
                  <c:v>Juzgado 44</c:v>
                </c:pt>
              </c:strCache>
            </c:strRef>
          </c:cat>
          <c:val>
            <c:numRef>
              <c:f>'Circuito de Oralidad'!$U$20:$U$29</c:f>
              <c:numCache>
                <c:formatCode>General</c:formatCode>
                <c:ptCount val="10"/>
                <c:pt idx="0">
                  <c:v>1155</c:v>
                </c:pt>
                <c:pt idx="1">
                  <c:v>1109</c:v>
                </c:pt>
                <c:pt idx="2">
                  <c:v>1115</c:v>
                </c:pt>
                <c:pt idx="3">
                  <c:v>1279</c:v>
                </c:pt>
                <c:pt idx="4">
                  <c:v>1244</c:v>
                </c:pt>
                <c:pt idx="5">
                  <c:v>1098</c:v>
                </c:pt>
                <c:pt idx="6">
                  <c:v>1082</c:v>
                </c:pt>
                <c:pt idx="7">
                  <c:v>1241</c:v>
                </c:pt>
                <c:pt idx="8">
                  <c:v>1131</c:v>
                </c:pt>
                <c:pt idx="9">
                  <c:v>1387</c:v>
                </c:pt>
              </c:numCache>
            </c:numRef>
          </c:val>
        </c:ser>
        <c:dLbls>
          <c:showLegendKey val="0"/>
          <c:showVal val="0"/>
          <c:showCatName val="0"/>
          <c:showSerName val="0"/>
          <c:showPercent val="0"/>
          <c:showBubbleSize val="0"/>
        </c:dLbls>
        <c:gapWidth val="219"/>
        <c:overlap val="-27"/>
        <c:axId val="113235968"/>
        <c:axId val="150985472"/>
      </c:barChart>
      <c:lineChart>
        <c:grouping val="standard"/>
        <c:varyColors val="0"/>
        <c:ser>
          <c:idx val="1"/>
          <c:order val="1"/>
          <c:tx>
            <c:strRef>
              <c:f>'Circuito de Oralidad'!$V$19</c:f>
              <c:strCache>
                <c:ptCount val="1"/>
                <c:pt idx="0">
                  <c:v>carga razonable</c:v>
                </c:pt>
              </c:strCache>
            </c:strRef>
          </c:tx>
          <c:spPr>
            <a:ln w="28575" cap="rnd">
              <a:solidFill>
                <a:schemeClr val="accent2"/>
              </a:solidFill>
              <a:round/>
            </a:ln>
            <a:effectLst/>
          </c:spPr>
          <c:marker>
            <c:symbol val="none"/>
          </c:marker>
          <c:cat>
            <c:strRef>
              <c:f>'Circuito de Oralidad'!$T$20:$T$29</c:f>
              <c:strCache>
                <c:ptCount val="10"/>
                <c:pt idx="0">
                  <c:v>Juzgado 01</c:v>
                </c:pt>
                <c:pt idx="1">
                  <c:v>Juzgado 17</c:v>
                </c:pt>
                <c:pt idx="2">
                  <c:v>Juzgado 20</c:v>
                </c:pt>
                <c:pt idx="3">
                  <c:v>Juzgado 31</c:v>
                </c:pt>
                <c:pt idx="4">
                  <c:v>Juzgado32</c:v>
                </c:pt>
                <c:pt idx="5">
                  <c:v>Juzgado34</c:v>
                </c:pt>
                <c:pt idx="6">
                  <c:v>Juzgado 37</c:v>
                </c:pt>
                <c:pt idx="7">
                  <c:v>Juzgado 38</c:v>
                </c:pt>
                <c:pt idx="8">
                  <c:v>Juzgado 43</c:v>
                </c:pt>
                <c:pt idx="9">
                  <c:v>Juzgado 44</c:v>
                </c:pt>
              </c:strCache>
            </c:strRef>
          </c:cat>
          <c:val>
            <c:numRef>
              <c:f>'Circuito de Oralidad'!$V$20:$V$29</c:f>
              <c:numCache>
                <c:formatCode>General</c:formatCode>
                <c:ptCount val="10"/>
                <c:pt idx="0">
                  <c:v>342</c:v>
                </c:pt>
                <c:pt idx="1">
                  <c:v>342</c:v>
                </c:pt>
                <c:pt idx="2">
                  <c:v>342</c:v>
                </c:pt>
                <c:pt idx="3">
                  <c:v>342</c:v>
                </c:pt>
                <c:pt idx="4">
                  <c:v>342</c:v>
                </c:pt>
                <c:pt idx="5">
                  <c:v>342</c:v>
                </c:pt>
                <c:pt idx="6">
                  <c:v>342</c:v>
                </c:pt>
                <c:pt idx="7">
                  <c:v>342</c:v>
                </c:pt>
                <c:pt idx="8">
                  <c:v>342</c:v>
                </c:pt>
                <c:pt idx="9">
                  <c:v>342</c:v>
                </c:pt>
              </c:numCache>
            </c:numRef>
          </c:val>
          <c:smooth val="0"/>
        </c:ser>
        <c:dLbls>
          <c:showLegendKey val="0"/>
          <c:showVal val="0"/>
          <c:showCatName val="0"/>
          <c:showSerName val="0"/>
          <c:showPercent val="0"/>
          <c:showBubbleSize val="0"/>
        </c:dLbls>
        <c:marker val="1"/>
        <c:smooth val="0"/>
        <c:axId val="113235968"/>
        <c:axId val="150985472"/>
      </c:lineChart>
      <c:catAx>
        <c:axId val="11323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CO" sz="700" b="0" i="0" u="none" strike="noStrike" kern="1200" baseline="0">
                <a:solidFill>
                  <a:schemeClr val="tx1">
                    <a:lumMod val="65000"/>
                    <a:lumOff val="35000"/>
                  </a:schemeClr>
                </a:solidFill>
                <a:latin typeface="+mn-lt"/>
                <a:ea typeface="+mn-ea"/>
                <a:cs typeface="+mn-cs"/>
              </a:defRPr>
            </a:pPr>
            <a:endParaRPr lang="es-CO"/>
          </a:p>
        </c:txPr>
        <c:crossAx val="150985472"/>
        <c:crosses val="autoZero"/>
        <c:auto val="1"/>
        <c:lblAlgn val="ctr"/>
        <c:lblOffset val="100"/>
        <c:noMultiLvlLbl val="0"/>
      </c:catAx>
      <c:valAx>
        <c:axId val="150985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s-CO" sz="900" b="0" i="0" u="none" strike="noStrike" kern="1200" baseline="0">
                <a:solidFill>
                  <a:schemeClr val="tx1">
                    <a:lumMod val="65000"/>
                    <a:lumOff val="35000"/>
                  </a:schemeClr>
                </a:solidFill>
                <a:latin typeface="+mn-lt"/>
                <a:ea typeface="+mn-ea"/>
                <a:cs typeface="+mn-cs"/>
              </a:defRPr>
            </a:pPr>
            <a:endParaRPr lang="es-CO"/>
          </a:p>
        </c:txPr>
        <c:crossAx val="113235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s-CO"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CO" sz="1400" b="0" i="0" u="none" strike="noStrike" kern="1200" spc="0" baseline="0">
                <a:solidFill>
                  <a:schemeClr val="tx1">
                    <a:lumMod val="65000"/>
                    <a:lumOff val="35000"/>
                  </a:schemeClr>
                </a:solidFill>
                <a:latin typeface="+mn-lt"/>
                <a:ea typeface="+mn-ea"/>
                <a:cs typeface="+mn-cs"/>
              </a:defRPr>
            </a:pPr>
            <a:r>
              <a:rPr lang="es-ES" sz="1200" b="1">
                <a:solidFill>
                  <a:sysClr val="windowText" lastClr="000000"/>
                </a:solidFill>
              </a:rPr>
              <a:t>ESTADÍSTICA REPARTO JUZGADO CIVILES MUNICIPALES ORALIDAD FRENTE A LA CARGA RAZONABLE</a:t>
            </a:r>
          </a:p>
        </c:rich>
      </c:tx>
      <c:overlay val="0"/>
      <c:spPr>
        <a:noFill/>
        <a:ln>
          <a:noFill/>
        </a:ln>
        <a:effectLst/>
      </c:spPr>
    </c:title>
    <c:autoTitleDeleted val="0"/>
    <c:plotArea>
      <c:layout/>
      <c:barChart>
        <c:barDir val="col"/>
        <c:grouping val="clustered"/>
        <c:varyColors val="0"/>
        <c:ser>
          <c:idx val="0"/>
          <c:order val="0"/>
          <c:tx>
            <c:strRef>
              <c:f>'MUNICIPALES ORALIDAD'!$V$51</c:f>
              <c:strCache>
                <c:ptCount val="1"/>
                <c:pt idx="0">
                  <c:v>procesos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s-CO" sz="4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'MUNICIPALES ORALIDAD'!$U$52:$U$95</c:f>
              <c:strCache>
                <c:ptCount val="44"/>
                <c:pt idx="0">
                  <c:v>Juzgado 1</c:v>
                </c:pt>
                <c:pt idx="1">
                  <c:v>Juzgado 2</c:v>
                </c:pt>
                <c:pt idx="2">
                  <c:v>Juzgado 4</c:v>
                </c:pt>
                <c:pt idx="3">
                  <c:v>Juzgado 5</c:v>
                </c:pt>
                <c:pt idx="4">
                  <c:v>Juzgado 7</c:v>
                </c:pt>
                <c:pt idx="5">
                  <c:v>Juzgado 11</c:v>
                </c:pt>
                <c:pt idx="6">
                  <c:v>Juzgado 12</c:v>
                </c:pt>
                <c:pt idx="7">
                  <c:v>Juzgado 13</c:v>
                </c:pt>
                <c:pt idx="8">
                  <c:v>Juzgado 14</c:v>
                </c:pt>
                <c:pt idx="9">
                  <c:v>Juzgado 15</c:v>
                </c:pt>
                <c:pt idx="10">
                  <c:v>Juzgado 16</c:v>
                </c:pt>
                <c:pt idx="11">
                  <c:v>Juzgado 17</c:v>
                </c:pt>
                <c:pt idx="12">
                  <c:v>Juzgado 18</c:v>
                </c:pt>
                <c:pt idx="13">
                  <c:v>Juzgado 20</c:v>
                </c:pt>
                <c:pt idx="14">
                  <c:v>Juzgado 21</c:v>
                </c:pt>
                <c:pt idx="15">
                  <c:v>Juzgado 22</c:v>
                </c:pt>
                <c:pt idx="16">
                  <c:v>Juzgado 24</c:v>
                </c:pt>
                <c:pt idx="17">
                  <c:v>Juzgado 30</c:v>
                </c:pt>
                <c:pt idx="18">
                  <c:v>Juzgado 31</c:v>
                </c:pt>
                <c:pt idx="19">
                  <c:v>Juzgado 32</c:v>
                </c:pt>
                <c:pt idx="20">
                  <c:v>Juzgado 33</c:v>
                </c:pt>
                <c:pt idx="21">
                  <c:v>Juzgado 35</c:v>
                </c:pt>
                <c:pt idx="22">
                  <c:v>Juzgado 36</c:v>
                </c:pt>
                <c:pt idx="23">
                  <c:v>Juzgado 37</c:v>
                </c:pt>
                <c:pt idx="24">
                  <c:v>Juzgado 38</c:v>
                </c:pt>
                <c:pt idx="25">
                  <c:v>Juzgado 39</c:v>
                </c:pt>
                <c:pt idx="26">
                  <c:v>Juzgado 40</c:v>
                </c:pt>
                <c:pt idx="27">
                  <c:v>Juzgado 43</c:v>
                </c:pt>
                <c:pt idx="28">
                  <c:v>Juzgado 45</c:v>
                </c:pt>
                <c:pt idx="29">
                  <c:v>Juzgado 47</c:v>
                </c:pt>
                <c:pt idx="30">
                  <c:v>Juzgado 49</c:v>
                </c:pt>
                <c:pt idx="31">
                  <c:v>Juzgado 50</c:v>
                </c:pt>
                <c:pt idx="32">
                  <c:v>Juzgado 56</c:v>
                </c:pt>
                <c:pt idx="33">
                  <c:v>Juzgado 58</c:v>
                </c:pt>
                <c:pt idx="34">
                  <c:v>Juzgado 59</c:v>
                </c:pt>
                <c:pt idx="35">
                  <c:v>Juzgado 60</c:v>
                </c:pt>
                <c:pt idx="36">
                  <c:v>Juzgado 63</c:v>
                </c:pt>
                <c:pt idx="37">
                  <c:v>Juzgado 64</c:v>
                </c:pt>
                <c:pt idx="38">
                  <c:v>Juzgado 65</c:v>
                </c:pt>
                <c:pt idx="39">
                  <c:v>Juzgado 66</c:v>
                </c:pt>
                <c:pt idx="40">
                  <c:v>Juzgado 68</c:v>
                </c:pt>
                <c:pt idx="41">
                  <c:v>Juzgado 71</c:v>
                </c:pt>
                <c:pt idx="42">
                  <c:v>Juzgado 72</c:v>
                </c:pt>
                <c:pt idx="43">
                  <c:v>Juzgado 73</c:v>
                </c:pt>
              </c:strCache>
            </c:strRef>
          </c:cat>
          <c:val>
            <c:numRef>
              <c:f>'MUNICIPALES ORALIDAD'!$V$52:$V$95</c:f>
              <c:numCache>
                <c:formatCode>General</c:formatCode>
                <c:ptCount val="44"/>
                <c:pt idx="0">
                  <c:v>944</c:v>
                </c:pt>
                <c:pt idx="1">
                  <c:v>952</c:v>
                </c:pt>
                <c:pt idx="2">
                  <c:v>1093</c:v>
                </c:pt>
                <c:pt idx="3">
                  <c:v>956</c:v>
                </c:pt>
                <c:pt idx="4">
                  <c:v>1014</c:v>
                </c:pt>
                <c:pt idx="5">
                  <c:v>981</c:v>
                </c:pt>
                <c:pt idx="6">
                  <c:v>1017</c:v>
                </c:pt>
                <c:pt idx="7">
                  <c:v>974</c:v>
                </c:pt>
                <c:pt idx="8">
                  <c:v>1028</c:v>
                </c:pt>
                <c:pt idx="9">
                  <c:v>1077</c:v>
                </c:pt>
                <c:pt idx="10">
                  <c:v>948</c:v>
                </c:pt>
                <c:pt idx="11">
                  <c:v>1027</c:v>
                </c:pt>
                <c:pt idx="12">
                  <c:v>1063</c:v>
                </c:pt>
                <c:pt idx="13">
                  <c:v>1033</c:v>
                </c:pt>
                <c:pt idx="14">
                  <c:v>1043</c:v>
                </c:pt>
                <c:pt idx="15">
                  <c:v>996</c:v>
                </c:pt>
                <c:pt idx="16">
                  <c:v>943</c:v>
                </c:pt>
                <c:pt idx="17">
                  <c:v>966</c:v>
                </c:pt>
                <c:pt idx="18">
                  <c:v>983</c:v>
                </c:pt>
                <c:pt idx="19">
                  <c:v>1004</c:v>
                </c:pt>
                <c:pt idx="20">
                  <c:v>950</c:v>
                </c:pt>
                <c:pt idx="21">
                  <c:v>1094</c:v>
                </c:pt>
                <c:pt idx="22">
                  <c:v>1124</c:v>
                </c:pt>
                <c:pt idx="23">
                  <c:v>1031</c:v>
                </c:pt>
                <c:pt idx="24">
                  <c:v>932</c:v>
                </c:pt>
                <c:pt idx="25">
                  <c:v>942</c:v>
                </c:pt>
                <c:pt idx="26">
                  <c:v>925</c:v>
                </c:pt>
                <c:pt idx="27">
                  <c:v>1038</c:v>
                </c:pt>
                <c:pt idx="28">
                  <c:v>933</c:v>
                </c:pt>
                <c:pt idx="29">
                  <c:v>838</c:v>
                </c:pt>
                <c:pt idx="30">
                  <c:v>938</c:v>
                </c:pt>
                <c:pt idx="31">
                  <c:v>927</c:v>
                </c:pt>
                <c:pt idx="32">
                  <c:v>1000</c:v>
                </c:pt>
                <c:pt idx="33">
                  <c:v>968</c:v>
                </c:pt>
                <c:pt idx="34">
                  <c:v>966</c:v>
                </c:pt>
                <c:pt idx="35">
                  <c:v>967</c:v>
                </c:pt>
                <c:pt idx="36">
                  <c:v>994</c:v>
                </c:pt>
                <c:pt idx="37">
                  <c:v>930</c:v>
                </c:pt>
                <c:pt idx="38">
                  <c:v>1013</c:v>
                </c:pt>
                <c:pt idx="39">
                  <c:v>1044</c:v>
                </c:pt>
                <c:pt idx="40">
                  <c:v>1028</c:v>
                </c:pt>
                <c:pt idx="41">
                  <c:v>1017</c:v>
                </c:pt>
                <c:pt idx="42">
                  <c:v>991</c:v>
                </c:pt>
                <c:pt idx="43">
                  <c:v>943</c:v>
                </c:pt>
              </c:numCache>
            </c:numRef>
          </c:val>
        </c:ser>
        <c:dLbls>
          <c:showLegendKey val="0"/>
          <c:showVal val="0"/>
          <c:showCatName val="0"/>
          <c:showSerName val="0"/>
          <c:showPercent val="0"/>
          <c:showBubbleSize val="0"/>
        </c:dLbls>
        <c:gapWidth val="219"/>
        <c:overlap val="-27"/>
        <c:axId val="157273600"/>
        <c:axId val="152300928"/>
      </c:barChart>
      <c:lineChart>
        <c:grouping val="standard"/>
        <c:varyColors val="0"/>
        <c:ser>
          <c:idx val="1"/>
          <c:order val="1"/>
          <c:tx>
            <c:strRef>
              <c:f>'MUNICIPALES ORALIDAD'!$W$51</c:f>
              <c:strCache>
                <c:ptCount val="1"/>
                <c:pt idx="0">
                  <c:v>carga razonable</c:v>
                </c:pt>
              </c:strCache>
            </c:strRef>
          </c:tx>
          <c:spPr>
            <a:ln w="28575" cap="rnd">
              <a:solidFill>
                <a:schemeClr val="accent2"/>
              </a:solidFill>
              <a:round/>
            </a:ln>
            <a:effectLst/>
          </c:spPr>
          <c:marker>
            <c:symbol val="none"/>
          </c:marker>
          <c:cat>
            <c:strRef>
              <c:f>'MUNICIPALES ORALIDAD'!$U$52:$U$95</c:f>
              <c:strCache>
                <c:ptCount val="44"/>
                <c:pt idx="0">
                  <c:v>Juzgado 1</c:v>
                </c:pt>
                <c:pt idx="1">
                  <c:v>Juzgado 2</c:v>
                </c:pt>
                <c:pt idx="2">
                  <c:v>Juzgado 4</c:v>
                </c:pt>
                <c:pt idx="3">
                  <c:v>Juzgado 5</c:v>
                </c:pt>
                <c:pt idx="4">
                  <c:v>Juzgado 7</c:v>
                </c:pt>
                <c:pt idx="5">
                  <c:v>Juzgado 11</c:v>
                </c:pt>
                <c:pt idx="6">
                  <c:v>Juzgado 12</c:v>
                </c:pt>
                <c:pt idx="7">
                  <c:v>Juzgado 13</c:v>
                </c:pt>
                <c:pt idx="8">
                  <c:v>Juzgado 14</c:v>
                </c:pt>
                <c:pt idx="9">
                  <c:v>Juzgado 15</c:v>
                </c:pt>
                <c:pt idx="10">
                  <c:v>Juzgado 16</c:v>
                </c:pt>
                <c:pt idx="11">
                  <c:v>Juzgado 17</c:v>
                </c:pt>
                <c:pt idx="12">
                  <c:v>Juzgado 18</c:v>
                </c:pt>
                <c:pt idx="13">
                  <c:v>Juzgado 20</c:v>
                </c:pt>
                <c:pt idx="14">
                  <c:v>Juzgado 21</c:v>
                </c:pt>
                <c:pt idx="15">
                  <c:v>Juzgado 22</c:v>
                </c:pt>
                <c:pt idx="16">
                  <c:v>Juzgado 24</c:v>
                </c:pt>
                <c:pt idx="17">
                  <c:v>Juzgado 30</c:v>
                </c:pt>
                <c:pt idx="18">
                  <c:v>Juzgado 31</c:v>
                </c:pt>
                <c:pt idx="19">
                  <c:v>Juzgado 32</c:v>
                </c:pt>
                <c:pt idx="20">
                  <c:v>Juzgado 33</c:v>
                </c:pt>
                <c:pt idx="21">
                  <c:v>Juzgado 35</c:v>
                </c:pt>
                <c:pt idx="22">
                  <c:v>Juzgado 36</c:v>
                </c:pt>
                <c:pt idx="23">
                  <c:v>Juzgado 37</c:v>
                </c:pt>
                <c:pt idx="24">
                  <c:v>Juzgado 38</c:v>
                </c:pt>
                <c:pt idx="25">
                  <c:v>Juzgado 39</c:v>
                </c:pt>
                <c:pt idx="26">
                  <c:v>Juzgado 40</c:v>
                </c:pt>
                <c:pt idx="27">
                  <c:v>Juzgado 43</c:v>
                </c:pt>
                <c:pt idx="28">
                  <c:v>Juzgado 45</c:v>
                </c:pt>
                <c:pt idx="29">
                  <c:v>Juzgado 47</c:v>
                </c:pt>
                <c:pt idx="30">
                  <c:v>Juzgado 49</c:v>
                </c:pt>
                <c:pt idx="31">
                  <c:v>Juzgado 50</c:v>
                </c:pt>
                <c:pt idx="32">
                  <c:v>Juzgado 56</c:v>
                </c:pt>
                <c:pt idx="33">
                  <c:v>Juzgado 58</c:v>
                </c:pt>
                <c:pt idx="34">
                  <c:v>Juzgado 59</c:v>
                </c:pt>
                <c:pt idx="35">
                  <c:v>Juzgado 60</c:v>
                </c:pt>
                <c:pt idx="36">
                  <c:v>Juzgado 63</c:v>
                </c:pt>
                <c:pt idx="37">
                  <c:v>Juzgado 64</c:v>
                </c:pt>
                <c:pt idx="38">
                  <c:v>Juzgado 65</c:v>
                </c:pt>
                <c:pt idx="39">
                  <c:v>Juzgado 66</c:v>
                </c:pt>
                <c:pt idx="40">
                  <c:v>Juzgado 68</c:v>
                </c:pt>
                <c:pt idx="41">
                  <c:v>Juzgado 71</c:v>
                </c:pt>
                <c:pt idx="42">
                  <c:v>Juzgado 72</c:v>
                </c:pt>
                <c:pt idx="43">
                  <c:v>Juzgado 73</c:v>
                </c:pt>
              </c:strCache>
            </c:strRef>
          </c:cat>
          <c:val>
            <c:numRef>
              <c:f>'MUNICIPALES ORALIDAD'!$W$52:$W$95</c:f>
              <c:numCache>
                <c:formatCode>General</c:formatCode>
                <c:ptCount val="44"/>
                <c:pt idx="0">
                  <c:v>679</c:v>
                </c:pt>
                <c:pt idx="1">
                  <c:v>679</c:v>
                </c:pt>
                <c:pt idx="2">
                  <c:v>679</c:v>
                </c:pt>
                <c:pt idx="3">
                  <c:v>679</c:v>
                </c:pt>
                <c:pt idx="4">
                  <c:v>679</c:v>
                </c:pt>
                <c:pt idx="5">
                  <c:v>679</c:v>
                </c:pt>
                <c:pt idx="6">
                  <c:v>679</c:v>
                </c:pt>
                <c:pt idx="7">
                  <c:v>679</c:v>
                </c:pt>
                <c:pt idx="8">
                  <c:v>679</c:v>
                </c:pt>
                <c:pt idx="9">
                  <c:v>679</c:v>
                </c:pt>
                <c:pt idx="10">
                  <c:v>679</c:v>
                </c:pt>
                <c:pt idx="11">
                  <c:v>679</c:v>
                </c:pt>
                <c:pt idx="12">
                  <c:v>679</c:v>
                </c:pt>
                <c:pt idx="13">
                  <c:v>679</c:v>
                </c:pt>
                <c:pt idx="14">
                  <c:v>679</c:v>
                </c:pt>
                <c:pt idx="15">
                  <c:v>679</c:v>
                </c:pt>
                <c:pt idx="16">
                  <c:v>679</c:v>
                </c:pt>
                <c:pt idx="17">
                  <c:v>679</c:v>
                </c:pt>
                <c:pt idx="18">
                  <c:v>679</c:v>
                </c:pt>
                <c:pt idx="19">
                  <c:v>679</c:v>
                </c:pt>
                <c:pt idx="20">
                  <c:v>679</c:v>
                </c:pt>
                <c:pt idx="21">
                  <c:v>679</c:v>
                </c:pt>
                <c:pt idx="22">
                  <c:v>679</c:v>
                </c:pt>
                <c:pt idx="23">
                  <c:v>679</c:v>
                </c:pt>
                <c:pt idx="24">
                  <c:v>679</c:v>
                </c:pt>
                <c:pt idx="25">
                  <c:v>679</c:v>
                </c:pt>
                <c:pt idx="26">
                  <c:v>679</c:v>
                </c:pt>
                <c:pt idx="27">
                  <c:v>679</c:v>
                </c:pt>
                <c:pt idx="28">
                  <c:v>679</c:v>
                </c:pt>
                <c:pt idx="29">
                  <c:v>679</c:v>
                </c:pt>
                <c:pt idx="30">
                  <c:v>679</c:v>
                </c:pt>
                <c:pt idx="31">
                  <c:v>679</c:v>
                </c:pt>
                <c:pt idx="32">
                  <c:v>679</c:v>
                </c:pt>
                <c:pt idx="33">
                  <c:v>679</c:v>
                </c:pt>
                <c:pt idx="34">
                  <c:v>679</c:v>
                </c:pt>
                <c:pt idx="35">
                  <c:v>679</c:v>
                </c:pt>
                <c:pt idx="36">
                  <c:v>679</c:v>
                </c:pt>
                <c:pt idx="37">
                  <c:v>679</c:v>
                </c:pt>
                <c:pt idx="38">
                  <c:v>679</c:v>
                </c:pt>
                <c:pt idx="39">
                  <c:v>679</c:v>
                </c:pt>
                <c:pt idx="40">
                  <c:v>679</c:v>
                </c:pt>
                <c:pt idx="41">
                  <c:v>679</c:v>
                </c:pt>
                <c:pt idx="42">
                  <c:v>679</c:v>
                </c:pt>
                <c:pt idx="43">
                  <c:v>679</c:v>
                </c:pt>
              </c:numCache>
            </c:numRef>
          </c:val>
          <c:smooth val="0"/>
        </c:ser>
        <c:dLbls>
          <c:showLegendKey val="0"/>
          <c:showVal val="0"/>
          <c:showCatName val="0"/>
          <c:showSerName val="0"/>
          <c:showPercent val="0"/>
          <c:showBubbleSize val="0"/>
        </c:dLbls>
        <c:marker val="1"/>
        <c:smooth val="0"/>
        <c:axId val="157273600"/>
        <c:axId val="152300928"/>
      </c:lineChart>
      <c:catAx>
        <c:axId val="157273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CO" sz="700" b="0" i="0" u="none" strike="noStrike" kern="1200" baseline="0">
                <a:solidFill>
                  <a:schemeClr val="tx1">
                    <a:lumMod val="65000"/>
                    <a:lumOff val="35000"/>
                  </a:schemeClr>
                </a:solidFill>
                <a:latin typeface="+mn-lt"/>
                <a:ea typeface="+mn-ea"/>
                <a:cs typeface="+mn-cs"/>
              </a:defRPr>
            </a:pPr>
            <a:endParaRPr lang="es-CO"/>
          </a:p>
        </c:txPr>
        <c:crossAx val="152300928"/>
        <c:crosses val="autoZero"/>
        <c:auto val="1"/>
        <c:lblAlgn val="ctr"/>
        <c:lblOffset val="100"/>
        <c:noMultiLvlLbl val="0"/>
      </c:catAx>
      <c:valAx>
        <c:axId val="152300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s-CO" sz="900" b="0" i="0" u="none" strike="noStrike" kern="1200" baseline="0">
                <a:solidFill>
                  <a:schemeClr val="tx1">
                    <a:lumMod val="65000"/>
                    <a:lumOff val="35000"/>
                  </a:schemeClr>
                </a:solidFill>
                <a:latin typeface="+mn-lt"/>
                <a:ea typeface="+mn-ea"/>
                <a:cs typeface="+mn-cs"/>
              </a:defRPr>
            </a:pPr>
            <a:endParaRPr lang="es-CO"/>
          </a:p>
        </c:txPr>
        <c:crossAx val="157273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s-CO"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CO" sz="1400" b="0" i="0" u="none" strike="noStrike" kern="1200" spc="0" baseline="0">
                <a:solidFill>
                  <a:schemeClr val="tx1">
                    <a:lumMod val="65000"/>
                    <a:lumOff val="35000"/>
                  </a:schemeClr>
                </a:solidFill>
                <a:latin typeface="+mn-lt"/>
                <a:ea typeface="+mn-ea"/>
                <a:cs typeface="+mn-cs"/>
              </a:defRPr>
            </a:pPr>
            <a:r>
              <a:rPr lang="es-ES" sz="1100" b="1" i="0" baseline="0">
                <a:solidFill>
                  <a:sysClr val="windowText" lastClr="000000"/>
                </a:solidFill>
                <a:effectLst/>
              </a:rPr>
              <a:t>ESTADÍSTICA DE REPARTO JUZGADOS DE FAMILIA DE ORALIDAD FRENTE A LA CARGA RAZONABLE </a:t>
            </a:r>
            <a:endParaRPr lang="es-ES" sz="1100" b="1">
              <a:solidFill>
                <a:sysClr val="windowText" lastClr="000000"/>
              </a:solidFill>
              <a:effectLst/>
            </a:endParaRPr>
          </a:p>
        </c:rich>
      </c:tx>
      <c:overlay val="0"/>
      <c:spPr>
        <a:noFill/>
        <a:ln>
          <a:noFill/>
        </a:ln>
        <a:effectLst/>
      </c:spPr>
    </c:title>
    <c:autoTitleDeleted val="0"/>
    <c:plotArea>
      <c:layout>
        <c:manualLayout>
          <c:layoutTarget val="inner"/>
          <c:xMode val="edge"/>
          <c:yMode val="edge"/>
          <c:x val="7.7365288422416925E-2"/>
          <c:y val="0.19280472525505638"/>
          <c:w val="0.896867523138555"/>
          <c:h val="0.68020263596082753"/>
        </c:manualLayout>
      </c:layout>
      <c:barChart>
        <c:barDir val="col"/>
        <c:grouping val="clustered"/>
        <c:varyColors val="0"/>
        <c:ser>
          <c:idx val="0"/>
          <c:order val="0"/>
          <c:tx>
            <c:strRef>
              <c:f>'Familia de Oralidad'!$Q$21</c:f>
              <c:strCache>
                <c:ptCount val="1"/>
                <c:pt idx="0">
                  <c:v>procesos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s-CO"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'Familia de Oralidad'!$P$22:$P$31</c:f>
              <c:strCache>
                <c:ptCount val="10"/>
                <c:pt idx="0">
                  <c:v>Juzgado 1 </c:v>
                </c:pt>
                <c:pt idx="1">
                  <c:v>Juzgado 6 </c:v>
                </c:pt>
                <c:pt idx="2">
                  <c:v>Juzgado 7</c:v>
                </c:pt>
                <c:pt idx="3">
                  <c:v>Juzgado 8 </c:v>
                </c:pt>
                <c:pt idx="4">
                  <c:v>Juzgado 10 </c:v>
                </c:pt>
                <c:pt idx="5">
                  <c:v>Juzgado 14 </c:v>
                </c:pt>
                <c:pt idx="6">
                  <c:v>Juzgado 15 </c:v>
                </c:pt>
                <c:pt idx="7">
                  <c:v>Juzgado 19 </c:v>
                </c:pt>
                <c:pt idx="8">
                  <c:v>Juzgado 20 </c:v>
                </c:pt>
                <c:pt idx="9">
                  <c:v>Juzgado 23</c:v>
                </c:pt>
              </c:strCache>
            </c:strRef>
          </c:cat>
          <c:val>
            <c:numRef>
              <c:f>'Familia de Oralidad'!$Q$22:$Q$31</c:f>
              <c:numCache>
                <c:formatCode>General</c:formatCode>
                <c:ptCount val="10"/>
                <c:pt idx="0">
                  <c:v>1172</c:v>
                </c:pt>
                <c:pt idx="1">
                  <c:v>1012</c:v>
                </c:pt>
                <c:pt idx="2">
                  <c:v>1127</c:v>
                </c:pt>
                <c:pt idx="3">
                  <c:v>1202</c:v>
                </c:pt>
                <c:pt idx="4">
                  <c:v>1225</c:v>
                </c:pt>
                <c:pt idx="5">
                  <c:v>1149</c:v>
                </c:pt>
                <c:pt idx="6">
                  <c:v>985</c:v>
                </c:pt>
                <c:pt idx="7">
                  <c:v>1192</c:v>
                </c:pt>
                <c:pt idx="8">
                  <c:v>1042</c:v>
                </c:pt>
                <c:pt idx="9">
                  <c:v>1222</c:v>
                </c:pt>
              </c:numCache>
            </c:numRef>
          </c:val>
        </c:ser>
        <c:dLbls>
          <c:showLegendKey val="0"/>
          <c:showVal val="0"/>
          <c:showCatName val="0"/>
          <c:showSerName val="0"/>
          <c:showPercent val="0"/>
          <c:showBubbleSize val="0"/>
        </c:dLbls>
        <c:gapWidth val="219"/>
        <c:overlap val="-27"/>
        <c:axId val="115051008"/>
        <c:axId val="152303232"/>
      </c:barChart>
      <c:lineChart>
        <c:grouping val="standard"/>
        <c:varyColors val="0"/>
        <c:ser>
          <c:idx val="1"/>
          <c:order val="1"/>
          <c:tx>
            <c:strRef>
              <c:f>'Familia de Oralidad'!$R$21</c:f>
              <c:strCache>
                <c:ptCount val="1"/>
                <c:pt idx="0">
                  <c:v>carga razonable</c:v>
                </c:pt>
              </c:strCache>
            </c:strRef>
          </c:tx>
          <c:spPr>
            <a:ln w="28575" cap="rnd">
              <a:solidFill>
                <a:schemeClr val="accent2"/>
              </a:solidFill>
              <a:round/>
            </a:ln>
            <a:effectLst/>
          </c:spPr>
          <c:marker>
            <c:symbol val="none"/>
          </c:marker>
          <c:cat>
            <c:strRef>
              <c:f>'Familia de Oralidad'!$P$22:$P$31</c:f>
              <c:strCache>
                <c:ptCount val="10"/>
                <c:pt idx="0">
                  <c:v>Juzgado 1 </c:v>
                </c:pt>
                <c:pt idx="1">
                  <c:v>Juzgado 6 </c:v>
                </c:pt>
                <c:pt idx="2">
                  <c:v>Juzgado 7</c:v>
                </c:pt>
                <c:pt idx="3">
                  <c:v>Juzgado 8 </c:v>
                </c:pt>
                <c:pt idx="4">
                  <c:v>Juzgado 10 </c:v>
                </c:pt>
                <c:pt idx="5">
                  <c:v>Juzgado 14 </c:v>
                </c:pt>
                <c:pt idx="6">
                  <c:v>Juzgado 15 </c:v>
                </c:pt>
                <c:pt idx="7">
                  <c:v>Juzgado 19 </c:v>
                </c:pt>
                <c:pt idx="8">
                  <c:v>Juzgado 20 </c:v>
                </c:pt>
                <c:pt idx="9">
                  <c:v>Juzgado 23</c:v>
                </c:pt>
              </c:strCache>
            </c:strRef>
          </c:cat>
          <c:val>
            <c:numRef>
              <c:f>'Familia de Oralidad'!$R$22:$R$31</c:f>
              <c:numCache>
                <c:formatCode>General</c:formatCode>
                <c:ptCount val="10"/>
                <c:pt idx="0">
                  <c:v>478</c:v>
                </c:pt>
                <c:pt idx="1">
                  <c:v>478</c:v>
                </c:pt>
                <c:pt idx="2">
                  <c:v>478</c:v>
                </c:pt>
                <c:pt idx="3">
                  <c:v>478</c:v>
                </c:pt>
                <c:pt idx="4">
                  <c:v>478</c:v>
                </c:pt>
                <c:pt idx="5">
                  <c:v>478</c:v>
                </c:pt>
                <c:pt idx="6">
                  <c:v>478</c:v>
                </c:pt>
                <c:pt idx="7">
                  <c:v>478</c:v>
                </c:pt>
                <c:pt idx="8">
                  <c:v>478</c:v>
                </c:pt>
                <c:pt idx="9">
                  <c:v>478</c:v>
                </c:pt>
              </c:numCache>
            </c:numRef>
          </c:val>
          <c:smooth val="0"/>
        </c:ser>
        <c:dLbls>
          <c:showLegendKey val="0"/>
          <c:showVal val="0"/>
          <c:showCatName val="0"/>
          <c:showSerName val="0"/>
          <c:showPercent val="0"/>
          <c:showBubbleSize val="0"/>
        </c:dLbls>
        <c:marker val="1"/>
        <c:smooth val="0"/>
        <c:axId val="115051008"/>
        <c:axId val="152303232"/>
      </c:lineChart>
      <c:catAx>
        <c:axId val="115051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CO" sz="700" b="0" i="0" u="none" strike="noStrike" kern="1200" baseline="0">
                <a:solidFill>
                  <a:schemeClr val="tx1">
                    <a:lumMod val="65000"/>
                    <a:lumOff val="35000"/>
                  </a:schemeClr>
                </a:solidFill>
                <a:latin typeface="+mn-lt"/>
                <a:ea typeface="+mn-ea"/>
                <a:cs typeface="+mn-cs"/>
              </a:defRPr>
            </a:pPr>
            <a:endParaRPr lang="es-CO"/>
          </a:p>
        </c:txPr>
        <c:crossAx val="152303232"/>
        <c:crosses val="autoZero"/>
        <c:auto val="1"/>
        <c:lblAlgn val="ctr"/>
        <c:lblOffset val="100"/>
        <c:noMultiLvlLbl val="0"/>
      </c:catAx>
      <c:valAx>
        <c:axId val="152303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s-CO" sz="900" b="0" i="0" u="none" strike="noStrike" kern="1200" baseline="0">
                <a:solidFill>
                  <a:schemeClr val="tx1">
                    <a:lumMod val="65000"/>
                    <a:lumOff val="35000"/>
                  </a:schemeClr>
                </a:solidFill>
                <a:latin typeface="+mn-lt"/>
                <a:ea typeface="+mn-ea"/>
                <a:cs typeface="+mn-cs"/>
              </a:defRPr>
            </a:pPr>
            <a:endParaRPr lang="es-CO"/>
          </a:p>
        </c:txPr>
        <c:crossAx val="115051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s-CO"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0.80578</cdr:x>
      <cdr:y>0.21417</cdr:y>
    </cdr:from>
    <cdr:to>
      <cdr:x>1</cdr:x>
      <cdr:y>1</cdr:y>
    </cdr:to>
    <cdr:sp macro="" textlink="">
      <cdr:nvSpPr>
        <cdr:cNvPr id="3" name="CuadroTexto 4"/>
        <cdr:cNvSpPr txBox="1"/>
      </cdr:nvSpPr>
      <cdr:spPr>
        <a:xfrm xmlns:a="http://schemas.openxmlformats.org/drawingml/2006/main">
          <a:off x="4333874" y="752476"/>
          <a:ext cx="1044575" cy="276098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s-ES" sz="900"/>
            <a:t>Distritos:</a:t>
          </a:r>
        </a:p>
        <a:p xmlns:a="http://schemas.openxmlformats.org/drawingml/2006/main">
          <a:r>
            <a:rPr lang="es-ES" sz="900"/>
            <a:t>1. Antioquia</a:t>
          </a:r>
        </a:p>
        <a:p xmlns:a="http://schemas.openxmlformats.org/drawingml/2006/main">
          <a:r>
            <a:rPr lang="es-ES" sz="900"/>
            <a:t>2. Buga</a:t>
          </a:r>
        </a:p>
        <a:p xmlns:a="http://schemas.openxmlformats.org/drawingml/2006/main">
          <a:r>
            <a:rPr lang="es-ES" sz="900"/>
            <a:t>3. Cundinamarca</a:t>
          </a:r>
        </a:p>
        <a:p xmlns:a="http://schemas.openxmlformats.org/drawingml/2006/main">
          <a:r>
            <a:rPr lang="es-ES" sz="900"/>
            <a:t>4. Ibagué</a:t>
          </a:r>
        </a:p>
        <a:p xmlns:a="http://schemas.openxmlformats.org/drawingml/2006/main">
          <a:r>
            <a:rPr lang="es-ES" sz="900"/>
            <a:t>5. Mocoa</a:t>
          </a:r>
        </a:p>
        <a:p xmlns:a="http://schemas.openxmlformats.org/drawingml/2006/main">
          <a:r>
            <a:rPr lang="es-ES" sz="900"/>
            <a:t>6. Neiva</a:t>
          </a:r>
        </a:p>
        <a:p xmlns:a="http://schemas.openxmlformats.org/drawingml/2006/main">
          <a:r>
            <a:rPr lang="es-ES" sz="900"/>
            <a:t>7. Quibdó</a:t>
          </a:r>
        </a:p>
        <a:p xmlns:a="http://schemas.openxmlformats.org/drawingml/2006/main">
          <a:r>
            <a:rPr lang="es-ES" sz="900"/>
            <a:t>8. Villavicencio</a:t>
          </a:r>
        </a:p>
        <a:p xmlns:a="http://schemas.openxmlformats.org/drawingml/2006/main">
          <a:r>
            <a:rPr lang="es-ES" sz="900"/>
            <a:t>9. Yopal</a:t>
          </a:r>
        </a:p>
      </cdr:txBody>
    </cdr:sp>
  </cdr:relSizeAnchor>
</c:userShapes>
</file>

<file path=word/drawings/drawing2.xml><?xml version="1.0" encoding="utf-8"?>
<c:userShapes xmlns:c="http://schemas.openxmlformats.org/drawingml/2006/chart">
  <cdr:relSizeAnchor xmlns:cdr="http://schemas.openxmlformats.org/drawingml/2006/chartDrawing">
    <cdr:from>
      <cdr:x>0.81119</cdr:x>
      <cdr:y>0.1735</cdr:y>
    </cdr:from>
    <cdr:to>
      <cdr:x>1</cdr:x>
      <cdr:y>1</cdr:y>
    </cdr:to>
    <cdr:sp macro="" textlink="">
      <cdr:nvSpPr>
        <cdr:cNvPr id="2" name="CuadroTexto 5"/>
        <cdr:cNvSpPr txBox="1"/>
      </cdr:nvSpPr>
      <cdr:spPr>
        <a:xfrm xmlns:a="http://schemas.openxmlformats.org/drawingml/2006/main">
          <a:off x="4362450" y="609600"/>
          <a:ext cx="1015365" cy="290385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s-ES" sz="900"/>
            <a:t>Distritos:</a:t>
          </a:r>
        </a:p>
        <a:p xmlns:a="http://schemas.openxmlformats.org/drawingml/2006/main">
          <a:pPr marL="0" indent="0"/>
          <a:r>
            <a:rPr lang="es-ES" sz="900">
              <a:solidFill>
                <a:schemeClr val="dk1"/>
              </a:solidFill>
              <a:latin typeface="+mn-lt"/>
              <a:ea typeface="+mn-ea"/>
              <a:cs typeface="+mn-cs"/>
            </a:rPr>
            <a:t>1.Arauca </a:t>
          </a:r>
        </a:p>
        <a:p xmlns:a="http://schemas.openxmlformats.org/drawingml/2006/main">
          <a:pPr marL="0" indent="0"/>
          <a:r>
            <a:rPr lang="es-ES" sz="900">
              <a:solidFill>
                <a:schemeClr val="dk1"/>
              </a:solidFill>
              <a:latin typeface="+mn-lt"/>
              <a:ea typeface="+mn-ea"/>
              <a:cs typeface="+mn-cs"/>
            </a:rPr>
            <a:t>2. Arc. San Andrés</a:t>
          </a:r>
        </a:p>
        <a:p xmlns:a="http://schemas.openxmlformats.org/drawingml/2006/main">
          <a:pPr marL="0" indent="0"/>
          <a:r>
            <a:rPr lang="es-ES" sz="900">
              <a:solidFill>
                <a:schemeClr val="dk1"/>
              </a:solidFill>
              <a:latin typeface="+mn-lt"/>
              <a:ea typeface="+mn-ea"/>
              <a:cs typeface="+mn-cs"/>
            </a:rPr>
            <a:t>3. Armenia </a:t>
          </a:r>
        </a:p>
        <a:p xmlns:a="http://schemas.openxmlformats.org/drawingml/2006/main">
          <a:pPr marL="0" indent="0"/>
          <a:r>
            <a:rPr lang="es-ES" sz="900">
              <a:solidFill>
                <a:schemeClr val="dk1"/>
              </a:solidFill>
              <a:latin typeface="+mn-lt"/>
              <a:ea typeface="+mn-ea"/>
              <a:cs typeface="+mn-cs"/>
            </a:rPr>
            <a:t>4. Barranquilla</a:t>
          </a:r>
        </a:p>
        <a:p xmlns:a="http://schemas.openxmlformats.org/drawingml/2006/main">
          <a:pPr marL="0" indent="0"/>
          <a:r>
            <a:rPr lang="es-ES" sz="900">
              <a:solidFill>
                <a:schemeClr val="dk1"/>
              </a:solidFill>
              <a:latin typeface="+mn-lt"/>
              <a:ea typeface="+mn-ea"/>
              <a:cs typeface="+mn-cs"/>
            </a:rPr>
            <a:t>5.Bucaramanga</a:t>
          </a:r>
        </a:p>
        <a:p xmlns:a="http://schemas.openxmlformats.org/drawingml/2006/main">
          <a:pPr marL="0" indent="0"/>
          <a:r>
            <a:rPr lang="es-ES" sz="900">
              <a:solidFill>
                <a:schemeClr val="dk1"/>
              </a:solidFill>
              <a:latin typeface="+mn-lt"/>
              <a:ea typeface="+mn-ea"/>
              <a:cs typeface="+mn-cs"/>
            </a:rPr>
            <a:t>6. Cúcuta</a:t>
          </a:r>
        </a:p>
        <a:p xmlns:a="http://schemas.openxmlformats.org/drawingml/2006/main">
          <a:pPr marL="0" indent="0"/>
          <a:r>
            <a:rPr lang="es-ES" sz="900">
              <a:solidFill>
                <a:schemeClr val="dk1"/>
              </a:solidFill>
              <a:latin typeface="+mn-lt"/>
              <a:ea typeface="+mn-ea"/>
              <a:cs typeface="+mn-cs"/>
            </a:rPr>
            <a:t>7. Florencia</a:t>
          </a:r>
        </a:p>
        <a:p xmlns:a="http://schemas.openxmlformats.org/drawingml/2006/main">
          <a:pPr marL="0" indent="0"/>
          <a:r>
            <a:rPr lang="es-ES" sz="900">
              <a:solidFill>
                <a:schemeClr val="dk1"/>
              </a:solidFill>
              <a:latin typeface="+mn-lt"/>
              <a:ea typeface="+mn-ea"/>
              <a:cs typeface="+mn-cs"/>
            </a:rPr>
            <a:t>8. Manizales</a:t>
          </a:r>
        </a:p>
        <a:p xmlns:a="http://schemas.openxmlformats.org/drawingml/2006/main">
          <a:pPr marL="0" indent="0"/>
          <a:r>
            <a:rPr lang="es-ES" sz="900">
              <a:solidFill>
                <a:schemeClr val="dk1"/>
              </a:solidFill>
              <a:latin typeface="+mn-lt"/>
              <a:ea typeface="+mn-ea"/>
              <a:cs typeface="+mn-cs"/>
            </a:rPr>
            <a:t>9. Pamplona</a:t>
          </a:r>
        </a:p>
        <a:p xmlns:a="http://schemas.openxmlformats.org/drawingml/2006/main">
          <a:pPr marL="0" indent="0"/>
          <a:r>
            <a:rPr lang="es-ES" sz="900">
              <a:solidFill>
                <a:schemeClr val="dk1"/>
              </a:solidFill>
              <a:latin typeface="+mn-lt"/>
              <a:ea typeface="+mn-ea"/>
              <a:cs typeface="+mn-cs"/>
            </a:rPr>
            <a:t>10. Pereira</a:t>
          </a:r>
        </a:p>
        <a:p xmlns:a="http://schemas.openxmlformats.org/drawingml/2006/main">
          <a:pPr marL="0" indent="0"/>
          <a:r>
            <a:rPr lang="es-ES" sz="900">
              <a:solidFill>
                <a:schemeClr val="dk1"/>
              </a:solidFill>
              <a:latin typeface="+mn-lt"/>
              <a:ea typeface="+mn-ea"/>
              <a:cs typeface="+mn-cs"/>
            </a:rPr>
            <a:t>11. Popayán</a:t>
          </a:r>
        </a:p>
        <a:p xmlns:a="http://schemas.openxmlformats.org/drawingml/2006/main">
          <a:pPr marL="0" indent="0"/>
          <a:r>
            <a:rPr lang="es-ES" sz="900">
              <a:solidFill>
                <a:schemeClr val="dk1"/>
              </a:solidFill>
              <a:latin typeface="+mn-lt"/>
              <a:ea typeface="+mn-ea"/>
              <a:cs typeface="+mn-cs"/>
            </a:rPr>
            <a:t>12. Riohacha</a:t>
          </a:r>
        </a:p>
        <a:p xmlns:a="http://schemas.openxmlformats.org/drawingml/2006/main">
          <a:pPr marL="0" indent="0"/>
          <a:r>
            <a:rPr lang="es-ES" sz="900">
              <a:solidFill>
                <a:schemeClr val="dk1"/>
              </a:solidFill>
              <a:latin typeface="+mn-lt"/>
              <a:ea typeface="+mn-ea"/>
              <a:cs typeface="+mn-cs"/>
            </a:rPr>
            <a:t>13. San Gil</a:t>
          </a:r>
        </a:p>
        <a:p xmlns:a="http://schemas.openxmlformats.org/drawingml/2006/main">
          <a:pPr marL="0" indent="0"/>
          <a:r>
            <a:rPr lang="es-ES" sz="900">
              <a:solidFill>
                <a:schemeClr val="dk1"/>
              </a:solidFill>
              <a:latin typeface="+mn-lt"/>
              <a:ea typeface="+mn-ea"/>
              <a:cs typeface="+mn-cs"/>
            </a:rPr>
            <a:t>14. Santa Marta</a:t>
          </a:r>
        </a:p>
        <a:p xmlns:a="http://schemas.openxmlformats.org/drawingml/2006/main">
          <a:pPr marL="0" indent="0"/>
          <a:r>
            <a:rPr lang="es-ES" sz="900">
              <a:solidFill>
                <a:schemeClr val="dk1"/>
              </a:solidFill>
              <a:latin typeface="+mn-lt"/>
              <a:ea typeface="+mn-ea"/>
              <a:cs typeface="+mn-cs"/>
            </a:rPr>
            <a:t>15. Sincelejo</a:t>
          </a:r>
        </a:p>
        <a:p xmlns:a="http://schemas.openxmlformats.org/drawingml/2006/main">
          <a:pPr marL="0" indent="0"/>
          <a:r>
            <a:rPr lang="es-ES" sz="900">
              <a:solidFill>
                <a:schemeClr val="dk1"/>
              </a:solidFill>
              <a:latin typeface="+mn-lt"/>
              <a:ea typeface="+mn-ea"/>
              <a:cs typeface="+mn-cs"/>
            </a:rPr>
            <a:t>16. Valledupar</a:t>
          </a:r>
        </a:p>
      </cdr:txBody>
    </cdr:sp>
  </cdr:relSizeAnchor>
</c:userShapes>
</file>

<file path=word/drawings/drawing3.xml><?xml version="1.0" encoding="utf-8"?>
<c:userShapes xmlns:c="http://schemas.openxmlformats.org/drawingml/2006/chart">
  <cdr:relSizeAnchor xmlns:cdr="http://schemas.openxmlformats.org/drawingml/2006/chartDrawing">
    <cdr:from>
      <cdr:x>0.80942</cdr:x>
      <cdr:y>0.32261</cdr:y>
    </cdr:from>
    <cdr:to>
      <cdr:x>1</cdr:x>
      <cdr:y>1</cdr:y>
    </cdr:to>
    <cdr:sp macro="" textlink="">
      <cdr:nvSpPr>
        <cdr:cNvPr id="2" name="CuadroTexto 4"/>
        <cdr:cNvSpPr txBox="1"/>
      </cdr:nvSpPr>
      <cdr:spPr>
        <a:xfrm xmlns:a="http://schemas.openxmlformats.org/drawingml/2006/main">
          <a:off x="4352925" y="1133475"/>
          <a:ext cx="1024890" cy="237998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s-ES" sz="900"/>
            <a:t>Distritos:</a:t>
          </a:r>
        </a:p>
        <a:p xmlns:a="http://schemas.openxmlformats.org/drawingml/2006/main">
          <a:r>
            <a:rPr lang="es-ES" sz="900"/>
            <a:t>1. Antioquia</a:t>
          </a:r>
        </a:p>
        <a:p xmlns:a="http://schemas.openxmlformats.org/drawingml/2006/main">
          <a:r>
            <a:rPr lang="es-ES" sz="900"/>
            <a:t>2. Buga</a:t>
          </a:r>
        </a:p>
        <a:p xmlns:a="http://schemas.openxmlformats.org/drawingml/2006/main">
          <a:r>
            <a:rPr lang="es-ES" sz="900"/>
            <a:t>3. Cundinamarca</a:t>
          </a:r>
        </a:p>
        <a:p xmlns:a="http://schemas.openxmlformats.org/drawingml/2006/main">
          <a:r>
            <a:rPr lang="es-ES" sz="900"/>
            <a:t>4. Ibagué</a:t>
          </a:r>
        </a:p>
        <a:p xmlns:a="http://schemas.openxmlformats.org/drawingml/2006/main">
          <a:r>
            <a:rPr lang="es-ES" sz="900"/>
            <a:t>5. Mocoa</a:t>
          </a:r>
        </a:p>
        <a:p xmlns:a="http://schemas.openxmlformats.org/drawingml/2006/main">
          <a:r>
            <a:rPr lang="es-ES" sz="900"/>
            <a:t>6. Neiva</a:t>
          </a:r>
        </a:p>
        <a:p xmlns:a="http://schemas.openxmlformats.org/drawingml/2006/main">
          <a:r>
            <a:rPr lang="es-ES" sz="900"/>
            <a:t>7. Quibdó</a:t>
          </a:r>
        </a:p>
        <a:p xmlns:a="http://schemas.openxmlformats.org/drawingml/2006/main">
          <a:r>
            <a:rPr lang="es-ES" sz="900"/>
            <a:t>8. Villavicencio</a:t>
          </a:r>
        </a:p>
        <a:p xmlns:a="http://schemas.openxmlformats.org/drawingml/2006/main">
          <a:r>
            <a:rPr lang="es-ES" sz="900"/>
            <a:t>9. Yopal</a:t>
          </a:r>
        </a:p>
      </cdr:txBody>
    </cdr:sp>
  </cdr:relSizeAnchor>
</c:userShapes>
</file>

<file path=word/drawings/drawing4.xml><?xml version="1.0" encoding="utf-8"?>
<c:userShapes xmlns:c="http://schemas.openxmlformats.org/drawingml/2006/chart">
  <cdr:relSizeAnchor xmlns:cdr="http://schemas.openxmlformats.org/drawingml/2006/chartDrawing">
    <cdr:from>
      <cdr:x>0.82182</cdr:x>
      <cdr:y>0.25755</cdr:y>
    </cdr:from>
    <cdr:to>
      <cdr:x>1</cdr:x>
      <cdr:y>1</cdr:y>
    </cdr:to>
    <cdr:sp macro="" textlink="">
      <cdr:nvSpPr>
        <cdr:cNvPr id="2" name="CuadroTexto 5"/>
        <cdr:cNvSpPr txBox="1"/>
      </cdr:nvSpPr>
      <cdr:spPr>
        <a:xfrm xmlns:a="http://schemas.openxmlformats.org/drawingml/2006/main">
          <a:off x="4419600" y="904875"/>
          <a:ext cx="958215" cy="260858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s-ES" sz="900"/>
            <a:t>Distritos:</a:t>
          </a:r>
        </a:p>
        <a:p xmlns:a="http://schemas.openxmlformats.org/drawingml/2006/main">
          <a:pPr marL="0" indent="0"/>
          <a:r>
            <a:rPr lang="es-ES" sz="900">
              <a:solidFill>
                <a:schemeClr val="dk1"/>
              </a:solidFill>
              <a:latin typeface="+mn-lt"/>
              <a:ea typeface="+mn-ea"/>
              <a:cs typeface="+mn-cs"/>
            </a:rPr>
            <a:t>1.Arauca </a:t>
          </a:r>
        </a:p>
        <a:p xmlns:a="http://schemas.openxmlformats.org/drawingml/2006/main">
          <a:pPr marL="0" indent="0"/>
          <a:r>
            <a:rPr lang="es-ES" sz="900">
              <a:solidFill>
                <a:schemeClr val="dk1"/>
              </a:solidFill>
              <a:latin typeface="+mn-lt"/>
              <a:ea typeface="+mn-ea"/>
              <a:cs typeface="+mn-cs"/>
            </a:rPr>
            <a:t>2. Arc. San Andrés</a:t>
          </a:r>
        </a:p>
        <a:p xmlns:a="http://schemas.openxmlformats.org/drawingml/2006/main">
          <a:pPr marL="0" indent="0"/>
          <a:r>
            <a:rPr lang="es-ES" sz="900">
              <a:solidFill>
                <a:schemeClr val="dk1"/>
              </a:solidFill>
              <a:latin typeface="+mn-lt"/>
              <a:ea typeface="+mn-ea"/>
              <a:cs typeface="+mn-cs"/>
            </a:rPr>
            <a:t>3. Armenia </a:t>
          </a:r>
        </a:p>
        <a:p xmlns:a="http://schemas.openxmlformats.org/drawingml/2006/main">
          <a:pPr marL="0" indent="0"/>
          <a:r>
            <a:rPr lang="es-ES" sz="900">
              <a:solidFill>
                <a:schemeClr val="dk1"/>
              </a:solidFill>
              <a:latin typeface="+mn-lt"/>
              <a:ea typeface="+mn-ea"/>
              <a:cs typeface="+mn-cs"/>
            </a:rPr>
            <a:t>4. Barranquilla</a:t>
          </a:r>
        </a:p>
        <a:p xmlns:a="http://schemas.openxmlformats.org/drawingml/2006/main">
          <a:pPr marL="0" indent="0"/>
          <a:r>
            <a:rPr lang="es-ES" sz="900">
              <a:solidFill>
                <a:schemeClr val="dk1"/>
              </a:solidFill>
              <a:latin typeface="+mn-lt"/>
              <a:ea typeface="+mn-ea"/>
              <a:cs typeface="+mn-cs"/>
            </a:rPr>
            <a:t>5.Bucaramanga</a:t>
          </a:r>
        </a:p>
        <a:p xmlns:a="http://schemas.openxmlformats.org/drawingml/2006/main">
          <a:pPr marL="0" indent="0"/>
          <a:r>
            <a:rPr lang="es-ES" sz="900">
              <a:solidFill>
                <a:schemeClr val="dk1"/>
              </a:solidFill>
              <a:latin typeface="+mn-lt"/>
              <a:ea typeface="+mn-ea"/>
              <a:cs typeface="+mn-cs"/>
            </a:rPr>
            <a:t>6. Cúcuta</a:t>
          </a:r>
        </a:p>
        <a:p xmlns:a="http://schemas.openxmlformats.org/drawingml/2006/main">
          <a:pPr marL="0" indent="0"/>
          <a:r>
            <a:rPr lang="es-ES" sz="900">
              <a:solidFill>
                <a:schemeClr val="dk1"/>
              </a:solidFill>
              <a:latin typeface="+mn-lt"/>
              <a:ea typeface="+mn-ea"/>
              <a:cs typeface="+mn-cs"/>
            </a:rPr>
            <a:t>7. Florencia</a:t>
          </a:r>
        </a:p>
        <a:p xmlns:a="http://schemas.openxmlformats.org/drawingml/2006/main">
          <a:pPr marL="0" indent="0"/>
          <a:r>
            <a:rPr lang="es-ES" sz="900">
              <a:solidFill>
                <a:schemeClr val="dk1"/>
              </a:solidFill>
              <a:latin typeface="+mn-lt"/>
              <a:ea typeface="+mn-ea"/>
              <a:cs typeface="+mn-cs"/>
            </a:rPr>
            <a:t>8. Manizales</a:t>
          </a:r>
        </a:p>
        <a:p xmlns:a="http://schemas.openxmlformats.org/drawingml/2006/main">
          <a:pPr marL="0" indent="0"/>
          <a:r>
            <a:rPr lang="es-ES" sz="900">
              <a:solidFill>
                <a:schemeClr val="dk1"/>
              </a:solidFill>
              <a:latin typeface="+mn-lt"/>
              <a:ea typeface="+mn-ea"/>
              <a:cs typeface="+mn-cs"/>
            </a:rPr>
            <a:t>9. Pamplona</a:t>
          </a:r>
        </a:p>
        <a:p xmlns:a="http://schemas.openxmlformats.org/drawingml/2006/main">
          <a:pPr marL="0" indent="0"/>
          <a:r>
            <a:rPr lang="es-ES" sz="900">
              <a:solidFill>
                <a:schemeClr val="dk1"/>
              </a:solidFill>
              <a:latin typeface="+mn-lt"/>
              <a:ea typeface="+mn-ea"/>
              <a:cs typeface="+mn-cs"/>
            </a:rPr>
            <a:t>10. Pereira</a:t>
          </a:r>
        </a:p>
        <a:p xmlns:a="http://schemas.openxmlformats.org/drawingml/2006/main">
          <a:pPr marL="0" indent="0"/>
          <a:r>
            <a:rPr lang="es-ES" sz="900">
              <a:solidFill>
                <a:schemeClr val="dk1"/>
              </a:solidFill>
              <a:latin typeface="+mn-lt"/>
              <a:ea typeface="+mn-ea"/>
              <a:cs typeface="+mn-cs"/>
            </a:rPr>
            <a:t>11. Popayán</a:t>
          </a:r>
        </a:p>
        <a:p xmlns:a="http://schemas.openxmlformats.org/drawingml/2006/main">
          <a:pPr marL="0" indent="0"/>
          <a:r>
            <a:rPr lang="es-ES" sz="900">
              <a:solidFill>
                <a:schemeClr val="dk1"/>
              </a:solidFill>
              <a:latin typeface="+mn-lt"/>
              <a:ea typeface="+mn-ea"/>
              <a:cs typeface="+mn-cs"/>
            </a:rPr>
            <a:t>12. Riohacha</a:t>
          </a:r>
        </a:p>
        <a:p xmlns:a="http://schemas.openxmlformats.org/drawingml/2006/main">
          <a:pPr marL="0" indent="0"/>
          <a:r>
            <a:rPr lang="es-ES" sz="900">
              <a:solidFill>
                <a:schemeClr val="dk1"/>
              </a:solidFill>
              <a:latin typeface="+mn-lt"/>
              <a:ea typeface="+mn-ea"/>
              <a:cs typeface="+mn-cs"/>
            </a:rPr>
            <a:t>13. San Gil</a:t>
          </a:r>
        </a:p>
        <a:p xmlns:a="http://schemas.openxmlformats.org/drawingml/2006/main">
          <a:pPr marL="0" indent="0"/>
          <a:r>
            <a:rPr lang="es-ES" sz="900">
              <a:solidFill>
                <a:schemeClr val="dk1"/>
              </a:solidFill>
              <a:latin typeface="+mn-lt"/>
              <a:ea typeface="+mn-ea"/>
              <a:cs typeface="+mn-cs"/>
            </a:rPr>
            <a:t>14. Santa Marta</a:t>
          </a:r>
        </a:p>
        <a:p xmlns:a="http://schemas.openxmlformats.org/drawingml/2006/main">
          <a:pPr marL="0" indent="0"/>
          <a:r>
            <a:rPr lang="es-ES" sz="900">
              <a:solidFill>
                <a:schemeClr val="dk1"/>
              </a:solidFill>
              <a:latin typeface="+mn-lt"/>
              <a:ea typeface="+mn-ea"/>
              <a:cs typeface="+mn-cs"/>
            </a:rPr>
            <a:t>15. Sincelejo</a:t>
          </a:r>
        </a:p>
        <a:p xmlns:a="http://schemas.openxmlformats.org/drawingml/2006/main">
          <a:pPr marL="0" indent="0"/>
          <a:r>
            <a:rPr lang="es-ES" sz="900">
              <a:solidFill>
                <a:schemeClr val="dk1"/>
              </a:solidFill>
              <a:latin typeface="+mn-lt"/>
              <a:ea typeface="+mn-ea"/>
              <a:cs typeface="+mn-cs"/>
            </a:rPr>
            <a:t>16. Valledupar</a:t>
          </a:r>
        </a:p>
      </cdr:txBody>
    </cdr:sp>
  </cdr:relSizeAnchor>
</c:userShapes>
</file>

<file path=word/drawings/drawing5.xml><?xml version="1.0" encoding="utf-8"?>
<c:userShapes xmlns:c="http://schemas.openxmlformats.org/drawingml/2006/chart">
  <cdr:relSizeAnchor xmlns:cdr="http://schemas.openxmlformats.org/drawingml/2006/chartDrawing">
    <cdr:from>
      <cdr:x>0.80942</cdr:x>
      <cdr:y>0.19519</cdr:y>
    </cdr:from>
    <cdr:to>
      <cdr:x>1</cdr:x>
      <cdr:y>1</cdr:y>
    </cdr:to>
    <cdr:sp macro="" textlink="">
      <cdr:nvSpPr>
        <cdr:cNvPr id="2" name="CuadroTexto 4"/>
        <cdr:cNvSpPr txBox="1"/>
      </cdr:nvSpPr>
      <cdr:spPr>
        <a:xfrm xmlns:a="http://schemas.openxmlformats.org/drawingml/2006/main">
          <a:off x="4352926" y="685800"/>
          <a:ext cx="1024890" cy="282765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s-ES" sz="900"/>
            <a:t>Distritos:</a:t>
          </a:r>
        </a:p>
        <a:p xmlns:a="http://schemas.openxmlformats.org/drawingml/2006/main">
          <a:r>
            <a:rPr lang="es-ES" sz="900"/>
            <a:t>1. Antioquia</a:t>
          </a:r>
        </a:p>
        <a:p xmlns:a="http://schemas.openxmlformats.org/drawingml/2006/main">
          <a:r>
            <a:rPr lang="es-ES" sz="900"/>
            <a:t>2. Buga</a:t>
          </a:r>
        </a:p>
        <a:p xmlns:a="http://schemas.openxmlformats.org/drawingml/2006/main">
          <a:r>
            <a:rPr lang="es-ES" sz="900"/>
            <a:t>3. Cundinamarca</a:t>
          </a:r>
        </a:p>
        <a:p xmlns:a="http://schemas.openxmlformats.org/drawingml/2006/main">
          <a:r>
            <a:rPr lang="es-ES" sz="900"/>
            <a:t>4. Ibagué</a:t>
          </a:r>
        </a:p>
        <a:p xmlns:a="http://schemas.openxmlformats.org/drawingml/2006/main">
          <a:r>
            <a:rPr lang="es-ES" sz="900"/>
            <a:t>5. Mocoa</a:t>
          </a:r>
        </a:p>
        <a:p xmlns:a="http://schemas.openxmlformats.org/drawingml/2006/main">
          <a:r>
            <a:rPr lang="es-ES" sz="900"/>
            <a:t>6. Neiva</a:t>
          </a:r>
        </a:p>
        <a:p xmlns:a="http://schemas.openxmlformats.org/drawingml/2006/main">
          <a:r>
            <a:rPr lang="es-ES" sz="900"/>
            <a:t>7. Quibdó</a:t>
          </a:r>
        </a:p>
        <a:p xmlns:a="http://schemas.openxmlformats.org/drawingml/2006/main">
          <a:r>
            <a:rPr lang="es-ES" sz="900"/>
            <a:t>8. Villavicencio</a:t>
          </a:r>
        </a:p>
        <a:p xmlns:a="http://schemas.openxmlformats.org/drawingml/2006/main">
          <a:r>
            <a:rPr lang="es-ES" sz="900"/>
            <a:t>9. Yopal</a:t>
          </a:r>
        </a:p>
      </cdr:txBody>
    </cdr:sp>
  </cdr:relSizeAnchor>
</c:userShapes>
</file>

<file path=word/drawings/drawing6.xml><?xml version="1.0" encoding="utf-8"?>
<c:userShapes xmlns:c="http://schemas.openxmlformats.org/drawingml/2006/chart">
  <cdr:relSizeAnchor xmlns:cdr="http://schemas.openxmlformats.org/drawingml/2006/chartDrawing">
    <cdr:from>
      <cdr:x>0.81474</cdr:x>
      <cdr:y>0.21688</cdr:y>
    </cdr:from>
    <cdr:to>
      <cdr:x>1</cdr:x>
      <cdr:y>1</cdr:y>
    </cdr:to>
    <cdr:sp macro="" textlink="">
      <cdr:nvSpPr>
        <cdr:cNvPr id="2" name="CuadroTexto 5"/>
        <cdr:cNvSpPr txBox="1"/>
      </cdr:nvSpPr>
      <cdr:spPr>
        <a:xfrm xmlns:a="http://schemas.openxmlformats.org/drawingml/2006/main">
          <a:off x="4381500" y="762000"/>
          <a:ext cx="996315" cy="275145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s-ES" sz="900"/>
            <a:t>Distritos:</a:t>
          </a:r>
        </a:p>
        <a:p xmlns:a="http://schemas.openxmlformats.org/drawingml/2006/main">
          <a:pPr marL="0" indent="0"/>
          <a:r>
            <a:rPr lang="es-ES" sz="900">
              <a:solidFill>
                <a:schemeClr val="dk1"/>
              </a:solidFill>
              <a:latin typeface="+mn-lt"/>
              <a:ea typeface="+mn-ea"/>
              <a:cs typeface="+mn-cs"/>
            </a:rPr>
            <a:t>1.Arauca </a:t>
          </a:r>
        </a:p>
        <a:p xmlns:a="http://schemas.openxmlformats.org/drawingml/2006/main">
          <a:pPr marL="0" indent="0"/>
          <a:r>
            <a:rPr lang="es-ES" sz="900">
              <a:solidFill>
                <a:schemeClr val="dk1"/>
              </a:solidFill>
              <a:latin typeface="+mn-lt"/>
              <a:ea typeface="+mn-ea"/>
              <a:cs typeface="+mn-cs"/>
            </a:rPr>
            <a:t>2. Arc. San Andrés</a:t>
          </a:r>
        </a:p>
        <a:p xmlns:a="http://schemas.openxmlformats.org/drawingml/2006/main">
          <a:pPr marL="0" indent="0"/>
          <a:r>
            <a:rPr lang="es-ES" sz="900">
              <a:solidFill>
                <a:schemeClr val="dk1"/>
              </a:solidFill>
              <a:latin typeface="+mn-lt"/>
              <a:ea typeface="+mn-ea"/>
              <a:cs typeface="+mn-cs"/>
            </a:rPr>
            <a:t>3. Armenia </a:t>
          </a:r>
        </a:p>
        <a:p xmlns:a="http://schemas.openxmlformats.org/drawingml/2006/main">
          <a:pPr marL="0" indent="0"/>
          <a:r>
            <a:rPr lang="es-ES" sz="900">
              <a:solidFill>
                <a:schemeClr val="dk1"/>
              </a:solidFill>
              <a:latin typeface="+mn-lt"/>
              <a:ea typeface="+mn-ea"/>
              <a:cs typeface="+mn-cs"/>
            </a:rPr>
            <a:t>4. Barranquilla</a:t>
          </a:r>
        </a:p>
        <a:p xmlns:a="http://schemas.openxmlformats.org/drawingml/2006/main">
          <a:pPr marL="0" indent="0"/>
          <a:r>
            <a:rPr lang="es-ES" sz="900">
              <a:solidFill>
                <a:schemeClr val="dk1"/>
              </a:solidFill>
              <a:latin typeface="+mn-lt"/>
              <a:ea typeface="+mn-ea"/>
              <a:cs typeface="+mn-cs"/>
            </a:rPr>
            <a:t>5.Bucaramanga</a:t>
          </a:r>
        </a:p>
        <a:p xmlns:a="http://schemas.openxmlformats.org/drawingml/2006/main">
          <a:pPr marL="0" indent="0"/>
          <a:r>
            <a:rPr lang="es-ES" sz="900">
              <a:solidFill>
                <a:schemeClr val="dk1"/>
              </a:solidFill>
              <a:latin typeface="+mn-lt"/>
              <a:ea typeface="+mn-ea"/>
              <a:cs typeface="+mn-cs"/>
            </a:rPr>
            <a:t>6. Cúcuta</a:t>
          </a:r>
        </a:p>
        <a:p xmlns:a="http://schemas.openxmlformats.org/drawingml/2006/main">
          <a:pPr marL="0" indent="0"/>
          <a:r>
            <a:rPr lang="es-ES" sz="900">
              <a:solidFill>
                <a:schemeClr val="dk1"/>
              </a:solidFill>
              <a:latin typeface="+mn-lt"/>
              <a:ea typeface="+mn-ea"/>
              <a:cs typeface="+mn-cs"/>
            </a:rPr>
            <a:t>7. Florencia</a:t>
          </a:r>
        </a:p>
        <a:p xmlns:a="http://schemas.openxmlformats.org/drawingml/2006/main">
          <a:pPr marL="0" indent="0"/>
          <a:r>
            <a:rPr lang="es-ES" sz="900">
              <a:solidFill>
                <a:schemeClr val="dk1"/>
              </a:solidFill>
              <a:latin typeface="+mn-lt"/>
              <a:ea typeface="+mn-ea"/>
              <a:cs typeface="+mn-cs"/>
            </a:rPr>
            <a:t>8. Manizales</a:t>
          </a:r>
        </a:p>
        <a:p xmlns:a="http://schemas.openxmlformats.org/drawingml/2006/main">
          <a:pPr marL="0" indent="0"/>
          <a:r>
            <a:rPr lang="es-ES" sz="900">
              <a:solidFill>
                <a:schemeClr val="dk1"/>
              </a:solidFill>
              <a:latin typeface="+mn-lt"/>
              <a:ea typeface="+mn-ea"/>
              <a:cs typeface="+mn-cs"/>
            </a:rPr>
            <a:t>9. Pamplona</a:t>
          </a:r>
        </a:p>
        <a:p xmlns:a="http://schemas.openxmlformats.org/drawingml/2006/main">
          <a:pPr marL="0" indent="0"/>
          <a:r>
            <a:rPr lang="es-ES" sz="900">
              <a:solidFill>
                <a:schemeClr val="dk1"/>
              </a:solidFill>
              <a:latin typeface="+mn-lt"/>
              <a:ea typeface="+mn-ea"/>
              <a:cs typeface="+mn-cs"/>
            </a:rPr>
            <a:t>10. Pereira</a:t>
          </a:r>
        </a:p>
        <a:p xmlns:a="http://schemas.openxmlformats.org/drawingml/2006/main">
          <a:pPr marL="0" indent="0"/>
          <a:r>
            <a:rPr lang="es-ES" sz="900">
              <a:solidFill>
                <a:schemeClr val="dk1"/>
              </a:solidFill>
              <a:latin typeface="+mn-lt"/>
              <a:ea typeface="+mn-ea"/>
              <a:cs typeface="+mn-cs"/>
            </a:rPr>
            <a:t>11. Popayán</a:t>
          </a:r>
        </a:p>
        <a:p xmlns:a="http://schemas.openxmlformats.org/drawingml/2006/main">
          <a:pPr marL="0" indent="0"/>
          <a:r>
            <a:rPr lang="es-ES" sz="900">
              <a:solidFill>
                <a:schemeClr val="dk1"/>
              </a:solidFill>
              <a:latin typeface="+mn-lt"/>
              <a:ea typeface="+mn-ea"/>
              <a:cs typeface="+mn-cs"/>
            </a:rPr>
            <a:t>12. Riohacha</a:t>
          </a:r>
        </a:p>
        <a:p xmlns:a="http://schemas.openxmlformats.org/drawingml/2006/main">
          <a:pPr marL="0" indent="0"/>
          <a:r>
            <a:rPr lang="es-ES" sz="900">
              <a:solidFill>
                <a:schemeClr val="dk1"/>
              </a:solidFill>
              <a:latin typeface="+mn-lt"/>
              <a:ea typeface="+mn-ea"/>
              <a:cs typeface="+mn-cs"/>
            </a:rPr>
            <a:t>13. San Gil</a:t>
          </a:r>
        </a:p>
        <a:p xmlns:a="http://schemas.openxmlformats.org/drawingml/2006/main">
          <a:pPr marL="0" indent="0"/>
          <a:r>
            <a:rPr lang="es-ES" sz="900">
              <a:solidFill>
                <a:schemeClr val="dk1"/>
              </a:solidFill>
              <a:latin typeface="+mn-lt"/>
              <a:ea typeface="+mn-ea"/>
              <a:cs typeface="+mn-cs"/>
            </a:rPr>
            <a:t>14. Santa Marta</a:t>
          </a:r>
        </a:p>
        <a:p xmlns:a="http://schemas.openxmlformats.org/drawingml/2006/main">
          <a:pPr marL="0" indent="0"/>
          <a:r>
            <a:rPr lang="es-ES" sz="900">
              <a:solidFill>
                <a:schemeClr val="dk1"/>
              </a:solidFill>
              <a:latin typeface="+mn-lt"/>
              <a:ea typeface="+mn-ea"/>
              <a:cs typeface="+mn-cs"/>
            </a:rPr>
            <a:t>15. Sincelejo</a:t>
          </a:r>
        </a:p>
        <a:p xmlns:a="http://schemas.openxmlformats.org/drawingml/2006/main">
          <a:pPr marL="0" indent="0"/>
          <a:r>
            <a:rPr lang="es-ES" sz="900">
              <a:solidFill>
                <a:schemeClr val="dk1"/>
              </a:solidFill>
              <a:latin typeface="+mn-lt"/>
              <a:ea typeface="+mn-ea"/>
              <a:cs typeface="+mn-cs"/>
            </a:rPr>
            <a:t>16. Valledupar</a:t>
          </a:r>
        </a:p>
      </cdr:txBody>
    </cdr:sp>
  </cdr:relSizeAnchor>
</c:userShapes>
</file>

<file path=word/drawings/drawing7.xml><?xml version="1.0" encoding="utf-8"?>
<c:userShapes xmlns:c="http://schemas.openxmlformats.org/drawingml/2006/chart">
  <cdr:relSizeAnchor xmlns:cdr="http://schemas.openxmlformats.org/drawingml/2006/chartDrawing">
    <cdr:from>
      <cdr:x>0.82005</cdr:x>
      <cdr:y>0.23586</cdr:y>
    </cdr:from>
    <cdr:to>
      <cdr:x>1</cdr:x>
      <cdr:y>1</cdr:y>
    </cdr:to>
    <cdr:sp macro="" textlink="">
      <cdr:nvSpPr>
        <cdr:cNvPr id="2" name="CuadroTexto 4"/>
        <cdr:cNvSpPr txBox="1"/>
      </cdr:nvSpPr>
      <cdr:spPr>
        <a:xfrm xmlns:a="http://schemas.openxmlformats.org/drawingml/2006/main">
          <a:off x="4410075" y="828675"/>
          <a:ext cx="967740" cy="2684779"/>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s-ES" sz="900"/>
            <a:t>Distritos:</a:t>
          </a:r>
        </a:p>
        <a:p xmlns:a="http://schemas.openxmlformats.org/drawingml/2006/main">
          <a:r>
            <a:rPr lang="es-ES" sz="900"/>
            <a:t>1. Antioquia</a:t>
          </a:r>
        </a:p>
        <a:p xmlns:a="http://schemas.openxmlformats.org/drawingml/2006/main">
          <a:r>
            <a:rPr lang="es-ES" sz="900"/>
            <a:t>2. Buga</a:t>
          </a:r>
        </a:p>
        <a:p xmlns:a="http://schemas.openxmlformats.org/drawingml/2006/main">
          <a:r>
            <a:rPr lang="es-ES" sz="900"/>
            <a:t>3. Cundinamarca</a:t>
          </a:r>
        </a:p>
        <a:p xmlns:a="http://schemas.openxmlformats.org/drawingml/2006/main">
          <a:r>
            <a:rPr lang="es-ES" sz="900"/>
            <a:t>4. Ibagué</a:t>
          </a:r>
        </a:p>
        <a:p xmlns:a="http://schemas.openxmlformats.org/drawingml/2006/main">
          <a:r>
            <a:rPr lang="es-ES" sz="900"/>
            <a:t>5. Mocoa</a:t>
          </a:r>
        </a:p>
        <a:p xmlns:a="http://schemas.openxmlformats.org/drawingml/2006/main">
          <a:r>
            <a:rPr lang="es-ES" sz="900"/>
            <a:t>6. Neiva</a:t>
          </a:r>
        </a:p>
        <a:p xmlns:a="http://schemas.openxmlformats.org/drawingml/2006/main">
          <a:r>
            <a:rPr lang="es-ES" sz="900"/>
            <a:t>7. Quibdó</a:t>
          </a:r>
        </a:p>
        <a:p xmlns:a="http://schemas.openxmlformats.org/drawingml/2006/main">
          <a:r>
            <a:rPr lang="es-ES" sz="900"/>
            <a:t>8. Villavicencio</a:t>
          </a:r>
        </a:p>
        <a:p xmlns:a="http://schemas.openxmlformats.org/drawingml/2006/main">
          <a:r>
            <a:rPr lang="es-ES" sz="900"/>
            <a:t>9. Yopal</a:t>
          </a:r>
        </a:p>
        <a:p xmlns:a="http://schemas.openxmlformats.org/drawingml/2006/main">
          <a:endParaRPr lang="es-ES" sz="900"/>
        </a:p>
      </cdr:txBody>
    </cdr:sp>
  </cdr:relSizeAnchor>
</c:userShapes>
</file>

<file path=word/drawings/drawing8.xml><?xml version="1.0" encoding="utf-8"?>
<c:userShapes xmlns:c="http://schemas.openxmlformats.org/drawingml/2006/chart">
  <cdr:relSizeAnchor xmlns:cdr="http://schemas.openxmlformats.org/drawingml/2006/chartDrawing">
    <cdr:from>
      <cdr:x>0.7988</cdr:x>
      <cdr:y>0.23315</cdr:y>
    </cdr:from>
    <cdr:to>
      <cdr:x>1</cdr:x>
      <cdr:y>1</cdr:y>
    </cdr:to>
    <cdr:sp macro="" textlink="">
      <cdr:nvSpPr>
        <cdr:cNvPr id="2" name="CuadroTexto 5"/>
        <cdr:cNvSpPr txBox="1"/>
      </cdr:nvSpPr>
      <cdr:spPr>
        <a:xfrm xmlns:a="http://schemas.openxmlformats.org/drawingml/2006/main">
          <a:off x="4295775" y="819150"/>
          <a:ext cx="1082040" cy="269430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s-ES" sz="900"/>
            <a:t>Distritos:</a:t>
          </a:r>
        </a:p>
        <a:p xmlns:a="http://schemas.openxmlformats.org/drawingml/2006/main">
          <a:pPr marL="0" indent="0"/>
          <a:r>
            <a:rPr lang="es-ES" sz="900">
              <a:solidFill>
                <a:schemeClr val="dk1"/>
              </a:solidFill>
              <a:latin typeface="+mn-lt"/>
              <a:ea typeface="+mn-ea"/>
              <a:cs typeface="+mn-cs"/>
            </a:rPr>
            <a:t>1.Arauca </a:t>
          </a:r>
        </a:p>
        <a:p xmlns:a="http://schemas.openxmlformats.org/drawingml/2006/main">
          <a:pPr marL="0" indent="0"/>
          <a:r>
            <a:rPr lang="es-ES" sz="900">
              <a:solidFill>
                <a:schemeClr val="dk1"/>
              </a:solidFill>
              <a:latin typeface="+mn-lt"/>
              <a:ea typeface="+mn-ea"/>
              <a:cs typeface="+mn-cs"/>
            </a:rPr>
            <a:t>2. Arc. San Andrés</a:t>
          </a:r>
        </a:p>
        <a:p xmlns:a="http://schemas.openxmlformats.org/drawingml/2006/main">
          <a:pPr marL="0" indent="0"/>
          <a:r>
            <a:rPr lang="es-ES" sz="900">
              <a:solidFill>
                <a:schemeClr val="dk1"/>
              </a:solidFill>
              <a:latin typeface="+mn-lt"/>
              <a:ea typeface="+mn-ea"/>
              <a:cs typeface="+mn-cs"/>
            </a:rPr>
            <a:t>3. Armenia </a:t>
          </a:r>
        </a:p>
        <a:p xmlns:a="http://schemas.openxmlformats.org/drawingml/2006/main">
          <a:pPr marL="0" indent="0"/>
          <a:r>
            <a:rPr lang="es-ES" sz="900">
              <a:solidFill>
                <a:schemeClr val="dk1"/>
              </a:solidFill>
              <a:latin typeface="+mn-lt"/>
              <a:ea typeface="+mn-ea"/>
              <a:cs typeface="+mn-cs"/>
            </a:rPr>
            <a:t>4. Barranquilla</a:t>
          </a:r>
        </a:p>
        <a:p xmlns:a="http://schemas.openxmlformats.org/drawingml/2006/main">
          <a:pPr marL="0" indent="0"/>
          <a:r>
            <a:rPr lang="es-ES" sz="900">
              <a:solidFill>
                <a:schemeClr val="dk1"/>
              </a:solidFill>
              <a:latin typeface="+mn-lt"/>
              <a:ea typeface="+mn-ea"/>
              <a:cs typeface="+mn-cs"/>
            </a:rPr>
            <a:t>5.Bucaramanga</a:t>
          </a:r>
        </a:p>
        <a:p xmlns:a="http://schemas.openxmlformats.org/drawingml/2006/main">
          <a:pPr marL="0" indent="0"/>
          <a:r>
            <a:rPr lang="es-ES" sz="900">
              <a:solidFill>
                <a:schemeClr val="dk1"/>
              </a:solidFill>
              <a:latin typeface="+mn-lt"/>
              <a:ea typeface="+mn-ea"/>
              <a:cs typeface="+mn-cs"/>
            </a:rPr>
            <a:t>6. Cúcuta</a:t>
          </a:r>
        </a:p>
        <a:p xmlns:a="http://schemas.openxmlformats.org/drawingml/2006/main">
          <a:pPr marL="0" indent="0"/>
          <a:r>
            <a:rPr lang="es-ES" sz="900">
              <a:solidFill>
                <a:schemeClr val="dk1"/>
              </a:solidFill>
              <a:latin typeface="+mn-lt"/>
              <a:ea typeface="+mn-ea"/>
              <a:cs typeface="+mn-cs"/>
            </a:rPr>
            <a:t>7. Florencia</a:t>
          </a:r>
        </a:p>
        <a:p xmlns:a="http://schemas.openxmlformats.org/drawingml/2006/main">
          <a:pPr marL="0" indent="0"/>
          <a:r>
            <a:rPr lang="es-ES" sz="900">
              <a:solidFill>
                <a:schemeClr val="dk1"/>
              </a:solidFill>
              <a:latin typeface="+mn-lt"/>
              <a:ea typeface="+mn-ea"/>
              <a:cs typeface="+mn-cs"/>
            </a:rPr>
            <a:t>8. Manizales</a:t>
          </a:r>
        </a:p>
        <a:p xmlns:a="http://schemas.openxmlformats.org/drawingml/2006/main">
          <a:pPr marL="0" indent="0"/>
          <a:r>
            <a:rPr lang="es-ES" sz="900">
              <a:solidFill>
                <a:schemeClr val="dk1"/>
              </a:solidFill>
              <a:latin typeface="+mn-lt"/>
              <a:ea typeface="+mn-ea"/>
              <a:cs typeface="+mn-cs"/>
            </a:rPr>
            <a:t>9. Pamplona</a:t>
          </a:r>
        </a:p>
        <a:p xmlns:a="http://schemas.openxmlformats.org/drawingml/2006/main">
          <a:pPr marL="0" indent="0"/>
          <a:r>
            <a:rPr lang="es-ES" sz="900">
              <a:solidFill>
                <a:schemeClr val="dk1"/>
              </a:solidFill>
              <a:latin typeface="+mn-lt"/>
              <a:ea typeface="+mn-ea"/>
              <a:cs typeface="+mn-cs"/>
            </a:rPr>
            <a:t>10. Pereira</a:t>
          </a:r>
        </a:p>
        <a:p xmlns:a="http://schemas.openxmlformats.org/drawingml/2006/main">
          <a:pPr marL="0" indent="0"/>
          <a:r>
            <a:rPr lang="es-ES" sz="900">
              <a:solidFill>
                <a:schemeClr val="dk1"/>
              </a:solidFill>
              <a:latin typeface="+mn-lt"/>
              <a:ea typeface="+mn-ea"/>
              <a:cs typeface="+mn-cs"/>
            </a:rPr>
            <a:t>11. Popayán</a:t>
          </a:r>
        </a:p>
        <a:p xmlns:a="http://schemas.openxmlformats.org/drawingml/2006/main">
          <a:pPr marL="0" indent="0"/>
          <a:r>
            <a:rPr lang="es-ES" sz="900">
              <a:solidFill>
                <a:schemeClr val="dk1"/>
              </a:solidFill>
              <a:latin typeface="+mn-lt"/>
              <a:ea typeface="+mn-ea"/>
              <a:cs typeface="+mn-cs"/>
            </a:rPr>
            <a:t>12. Riohacha</a:t>
          </a:r>
        </a:p>
        <a:p xmlns:a="http://schemas.openxmlformats.org/drawingml/2006/main">
          <a:pPr marL="0" indent="0"/>
          <a:r>
            <a:rPr lang="es-ES" sz="900">
              <a:solidFill>
                <a:schemeClr val="dk1"/>
              </a:solidFill>
              <a:latin typeface="+mn-lt"/>
              <a:ea typeface="+mn-ea"/>
              <a:cs typeface="+mn-cs"/>
            </a:rPr>
            <a:t>13. San Gil</a:t>
          </a:r>
        </a:p>
        <a:p xmlns:a="http://schemas.openxmlformats.org/drawingml/2006/main">
          <a:pPr marL="0" indent="0"/>
          <a:r>
            <a:rPr lang="es-ES" sz="900">
              <a:solidFill>
                <a:schemeClr val="dk1"/>
              </a:solidFill>
              <a:latin typeface="+mn-lt"/>
              <a:ea typeface="+mn-ea"/>
              <a:cs typeface="+mn-cs"/>
            </a:rPr>
            <a:t>14. Santa Marta</a:t>
          </a:r>
        </a:p>
        <a:p xmlns:a="http://schemas.openxmlformats.org/drawingml/2006/main">
          <a:pPr marL="0" indent="0"/>
          <a:r>
            <a:rPr lang="es-ES" sz="900">
              <a:solidFill>
                <a:schemeClr val="dk1"/>
              </a:solidFill>
              <a:latin typeface="+mn-lt"/>
              <a:ea typeface="+mn-ea"/>
              <a:cs typeface="+mn-cs"/>
            </a:rPr>
            <a:t>15. Sincelejo</a:t>
          </a:r>
        </a:p>
        <a:p xmlns:a="http://schemas.openxmlformats.org/drawingml/2006/main">
          <a:pPr marL="0" indent="0"/>
          <a:r>
            <a:rPr lang="es-ES" sz="900">
              <a:solidFill>
                <a:schemeClr val="dk1"/>
              </a:solidFill>
              <a:latin typeface="+mn-lt"/>
              <a:ea typeface="+mn-ea"/>
              <a:cs typeface="+mn-cs"/>
            </a:rPr>
            <a:t>16. Valledupar</a:t>
          </a:r>
        </a:p>
        <a:p xmlns:a="http://schemas.openxmlformats.org/drawingml/2006/main">
          <a:pPr marL="0" indent="0"/>
          <a:endParaRPr lang="es-ES" sz="900">
            <a:solidFill>
              <a:schemeClr val="dk1"/>
            </a:solidFill>
            <a:latin typeface="+mn-lt"/>
            <a:ea typeface="+mn-ea"/>
            <a:cs typeface="+mn-cs"/>
          </a:endParaRPr>
        </a:p>
      </cdr:txBody>
    </cdr:sp>
  </cdr:relSizeAnchor>
</c:userShapes>
</file>

<file path=word/drawings/drawing9.xml><?xml version="1.0" encoding="utf-8"?>
<c:userShapes xmlns:c="http://schemas.openxmlformats.org/drawingml/2006/chart">
  <cdr:relSizeAnchor xmlns:cdr="http://schemas.openxmlformats.org/drawingml/2006/chartDrawing">
    <cdr:from>
      <cdr:x>0.77754</cdr:x>
      <cdr:y>0</cdr:y>
    </cdr:from>
    <cdr:to>
      <cdr:x>1</cdr:x>
      <cdr:y>0.9841</cdr:y>
    </cdr:to>
    <cdr:sp macro="" textlink="">
      <cdr:nvSpPr>
        <cdr:cNvPr id="2" name="CuadroTexto 4"/>
        <cdr:cNvSpPr txBox="1"/>
      </cdr:nvSpPr>
      <cdr:spPr>
        <a:xfrm xmlns:a="http://schemas.openxmlformats.org/drawingml/2006/main">
          <a:off x="4181466" y="0"/>
          <a:ext cx="1196349" cy="3457574"/>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s-ES" sz="800"/>
            <a:t>Distritos  Judiciales:</a:t>
          </a:r>
        </a:p>
        <a:p xmlns:a="http://schemas.openxmlformats.org/drawingml/2006/main">
          <a:pPr marL="0" indent="0"/>
          <a:r>
            <a:rPr lang="es-ES" sz="800">
              <a:solidFill>
                <a:schemeClr val="dk1"/>
              </a:solidFill>
              <a:latin typeface="+mn-lt"/>
              <a:ea typeface="+mn-ea"/>
              <a:cs typeface="+mn-cs"/>
            </a:rPr>
            <a:t>1.</a:t>
          </a:r>
          <a:r>
            <a:rPr lang="es-ES" sz="800" baseline="0">
              <a:solidFill>
                <a:schemeClr val="dk1"/>
              </a:solidFill>
              <a:latin typeface="+mn-lt"/>
              <a:ea typeface="+mn-ea"/>
              <a:cs typeface="+mn-cs"/>
            </a:rPr>
            <a:t> Antioquia</a:t>
          </a:r>
        </a:p>
        <a:p xmlns:a="http://schemas.openxmlformats.org/drawingml/2006/main">
          <a:pPr marL="0" indent="0"/>
          <a:r>
            <a:rPr lang="es-ES" sz="800" baseline="0">
              <a:solidFill>
                <a:schemeClr val="dk1"/>
              </a:solidFill>
              <a:latin typeface="+mn-lt"/>
              <a:ea typeface="+mn-ea"/>
              <a:cs typeface="+mn-cs"/>
            </a:rPr>
            <a:t>2. Arauca</a:t>
          </a:r>
        </a:p>
        <a:p xmlns:a="http://schemas.openxmlformats.org/drawingml/2006/main">
          <a:pPr marL="0" indent="0"/>
          <a:r>
            <a:rPr lang="es-ES" sz="800" baseline="0">
              <a:solidFill>
                <a:schemeClr val="dk1"/>
              </a:solidFill>
              <a:latin typeface="+mn-lt"/>
              <a:ea typeface="+mn-ea"/>
              <a:cs typeface="+mn-cs"/>
            </a:rPr>
            <a:t>3. Arc. San Andrés</a:t>
          </a:r>
        </a:p>
        <a:p xmlns:a="http://schemas.openxmlformats.org/drawingml/2006/main">
          <a:pPr marL="0" indent="0"/>
          <a:r>
            <a:rPr lang="es-ES" sz="800" baseline="0">
              <a:solidFill>
                <a:schemeClr val="dk1"/>
              </a:solidFill>
              <a:latin typeface="+mn-lt"/>
              <a:ea typeface="+mn-ea"/>
              <a:cs typeface="+mn-cs"/>
            </a:rPr>
            <a:t>4. Armenia</a:t>
          </a:r>
        </a:p>
        <a:p xmlns:a="http://schemas.openxmlformats.org/drawingml/2006/main">
          <a:pPr marL="0" indent="0"/>
          <a:r>
            <a:rPr lang="es-ES" sz="800" baseline="0">
              <a:solidFill>
                <a:schemeClr val="dk1"/>
              </a:solidFill>
              <a:latin typeface="+mn-lt"/>
              <a:ea typeface="+mn-ea"/>
              <a:cs typeface="+mn-cs"/>
            </a:rPr>
            <a:t>5. Barranquilla</a:t>
          </a:r>
        </a:p>
        <a:p xmlns:a="http://schemas.openxmlformats.org/drawingml/2006/main">
          <a:pPr marL="0" indent="0"/>
          <a:r>
            <a:rPr lang="es-ES" sz="800" baseline="0">
              <a:solidFill>
                <a:schemeClr val="dk1"/>
              </a:solidFill>
              <a:latin typeface="+mn-lt"/>
              <a:ea typeface="+mn-ea"/>
              <a:cs typeface="+mn-cs"/>
            </a:rPr>
            <a:t>6. Bogotá D.C</a:t>
          </a:r>
        </a:p>
        <a:p xmlns:a="http://schemas.openxmlformats.org/drawingml/2006/main">
          <a:pPr marL="0" indent="0"/>
          <a:r>
            <a:rPr lang="es-ES" sz="800" baseline="0">
              <a:solidFill>
                <a:schemeClr val="dk1"/>
              </a:solidFill>
              <a:latin typeface="+mn-lt"/>
              <a:ea typeface="+mn-ea"/>
              <a:cs typeface="+mn-cs"/>
            </a:rPr>
            <a:t>7. Bucaramanga</a:t>
          </a:r>
        </a:p>
        <a:p xmlns:a="http://schemas.openxmlformats.org/drawingml/2006/main">
          <a:pPr marL="0" indent="0"/>
          <a:r>
            <a:rPr lang="es-ES" sz="800" baseline="0">
              <a:solidFill>
                <a:schemeClr val="dk1"/>
              </a:solidFill>
              <a:latin typeface="+mn-lt"/>
              <a:ea typeface="+mn-ea"/>
              <a:cs typeface="+mn-cs"/>
            </a:rPr>
            <a:t>8. Buga</a:t>
          </a:r>
        </a:p>
        <a:p xmlns:a="http://schemas.openxmlformats.org/drawingml/2006/main">
          <a:pPr marL="0" indent="0"/>
          <a:r>
            <a:rPr lang="es-ES" sz="800" baseline="0">
              <a:solidFill>
                <a:schemeClr val="dk1"/>
              </a:solidFill>
              <a:latin typeface="+mn-lt"/>
              <a:ea typeface="+mn-ea"/>
              <a:cs typeface="+mn-cs"/>
            </a:rPr>
            <a:t>9. Cúcuta</a:t>
          </a:r>
        </a:p>
        <a:p xmlns:a="http://schemas.openxmlformats.org/drawingml/2006/main">
          <a:pPr marL="0" indent="0"/>
          <a:r>
            <a:rPr lang="es-ES" sz="800" baseline="0">
              <a:solidFill>
                <a:schemeClr val="dk1"/>
              </a:solidFill>
              <a:latin typeface="+mn-lt"/>
              <a:ea typeface="+mn-ea"/>
              <a:cs typeface="+mn-cs"/>
            </a:rPr>
            <a:t>10. Cundinamarca</a:t>
          </a:r>
        </a:p>
        <a:p xmlns:a="http://schemas.openxmlformats.org/drawingml/2006/main">
          <a:pPr marL="0" indent="0"/>
          <a:r>
            <a:rPr lang="es-ES" sz="800" baseline="0">
              <a:solidFill>
                <a:schemeClr val="dk1"/>
              </a:solidFill>
              <a:latin typeface="+mn-lt"/>
              <a:ea typeface="+mn-ea"/>
              <a:cs typeface="+mn-cs"/>
            </a:rPr>
            <a:t>11. Florencia</a:t>
          </a:r>
        </a:p>
        <a:p xmlns:a="http://schemas.openxmlformats.org/drawingml/2006/main">
          <a:pPr marL="0" indent="0"/>
          <a:r>
            <a:rPr lang="es-ES" sz="800" baseline="0">
              <a:solidFill>
                <a:schemeClr val="dk1"/>
              </a:solidFill>
              <a:latin typeface="+mn-lt"/>
              <a:ea typeface="+mn-ea"/>
              <a:cs typeface="+mn-cs"/>
            </a:rPr>
            <a:t>12. Ibagué</a:t>
          </a:r>
        </a:p>
        <a:p xmlns:a="http://schemas.openxmlformats.org/drawingml/2006/main">
          <a:pPr marL="0" indent="0"/>
          <a:r>
            <a:rPr lang="es-ES" sz="800" baseline="0">
              <a:solidFill>
                <a:schemeClr val="dk1"/>
              </a:solidFill>
              <a:latin typeface="+mn-lt"/>
              <a:ea typeface="+mn-ea"/>
              <a:cs typeface="+mn-cs"/>
            </a:rPr>
            <a:t>13. Manizales</a:t>
          </a:r>
        </a:p>
        <a:p xmlns:a="http://schemas.openxmlformats.org/drawingml/2006/main">
          <a:pPr marL="0" indent="0"/>
          <a:r>
            <a:rPr lang="es-ES" sz="800" baseline="0">
              <a:solidFill>
                <a:schemeClr val="dk1"/>
              </a:solidFill>
              <a:latin typeface="+mn-lt"/>
              <a:ea typeface="+mn-ea"/>
              <a:cs typeface="+mn-cs"/>
            </a:rPr>
            <a:t>14. Mocoa</a:t>
          </a:r>
        </a:p>
        <a:p xmlns:a="http://schemas.openxmlformats.org/drawingml/2006/main">
          <a:pPr marL="0" indent="0"/>
          <a:r>
            <a:rPr lang="es-ES" sz="800" baseline="0">
              <a:solidFill>
                <a:schemeClr val="dk1"/>
              </a:solidFill>
              <a:latin typeface="+mn-lt"/>
              <a:ea typeface="+mn-ea"/>
              <a:cs typeface="+mn-cs"/>
            </a:rPr>
            <a:t>15. Neiva</a:t>
          </a:r>
        </a:p>
        <a:p xmlns:a="http://schemas.openxmlformats.org/drawingml/2006/main">
          <a:pPr marL="0" indent="0"/>
          <a:r>
            <a:rPr lang="es-ES" sz="800" baseline="0">
              <a:solidFill>
                <a:schemeClr val="dk1"/>
              </a:solidFill>
              <a:latin typeface="+mn-lt"/>
              <a:ea typeface="+mn-ea"/>
              <a:cs typeface="+mn-cs"/>
            </a:rPr>
            <a:t>16. Pamplona</a:t>
          </a:r>
        </a:p>
        <a:p xmlns:a="http://schemas.openxmlformats.org/drawingml/2006/main">
          <a:pPr marL="0" indent="0"/>
          <a:r>
            <a:rPr lang="es-ES" sz="800" baseline="0">
              <a:solidFill>
                <a:schemeClr val="dk1"/>
              </a:solidFill>
              <a:latin typeface="+mn-lt"/>
              <a:ea typeface="+mn-ea"/>
              <a:cs typeface="+mn-cs"/>
            </a:rPr>
            <a:t>17. Pereira</a:t>
          </a:r>
        </a:p>
        <a:p xmlns:a="http://schemas.openxmlformats.org/drawingml/2006/main">
          <a:pPr marL="0" indent="0"/>
          <a:r>
            <a:rPr lang="es-ES" sz="800" baseline="0">
              <a:solidFill>
                <a:schemeClr val="dk1"/>
              </a:solidFill>
              <a:latin typeface="+mn-lt"/>
              <a:ea typeface="+mn-ea"/>
              <a:cs typeface="+mn-cs"/>
            </a:rPr>
            <a:t>18. Popayán</a:t>
          </a:r>
        </a:p>
        <a:p xmlns:a="http://schemas.openxmlformats.org/drawingml/2006/main">
          <a:pPr marL="0" indent="0"/>
          <a:r>
            <a:rPr lang="es-ES" sz="800" baseline="0">
              <a:solidFill>
                <a:schemeClr val="dk1"/>
              </a:solidFill>
              <a:latin typeface="+mn-lt"/>
              <a:ea typeface="+mn-ea"/>
              <a:cs typeface="+mn-cs"/>
            </a:rPr>
            <a:t>19. Quibdó</a:t>
          </a:r>
        </a:p>
        <a:p xmlns:a="http://schemas.openxmlformats.org/drawingml/2006/main">
          <a:pPr marL="0" indent="0"/>
          <a:r>
            <a:rPr lang="es-ES" sz="800" baseline="0">
              <a:solidFill>
                <a:schemeClr val="dk1"/>
              </a:solidFill>
              <a:latin typeface="+mn-lt"/>
              <a:ea typeface="+mn-ea"/>
              <a:cs typeface="+mn-cs"/>
            </a:rPr>
            <a:t>20. Riohacha</a:t>
          </a:r>
        </a:p>
        <a:p xmlns:a="http://schemas.openxmlformats.org/drawingml/2006/main">
          <a:pPr marL="0" indent="0"/>
          <a:r>
            <a:rPr lang="es-ES" sz="800" baseline="0">
              <a:solidFill>
                <a:schemeClr val="dk1"/>
              </a:solidFill>
              <a:latin typeface="+mn-lt"/>
              <a:ea typeface="+mn-ea"/>
              <a:cs typeface="+mn-cs"/>
            </a:rPr>
            <a:t>21. San Gil</a:t>
          </a:r>
        </a:p>
        <a:p xmlns:a="http://schemas.openxmlformats.org/drawingml/2006/main">
          <a:pPr marL="0" indent="0"/>
          <a:r>
            <a:rPr lang="es-ES" sz="800" baseline="0">
              <a:solidFill>
                <a:schemeClr val="dk1"/>
              </a:solidFill>
              <a:latin typeface="+mn-lt"/>
              <a:ea typeface="+mn-ea"/>
              <a:cs typeface="+mn-cs"/>
            </a:rPr>
            <a:t>22. Santa Marta</a:t>
          </a:r>
        </a:p>
        <a:p xmlns:a="http://schemas.openxmlformats.org/drawingml/2006/main">
          <a:pPr marL="0" indent="0"/>
          <a:r>
            <a:rPr lang="es-ES" sz="800" baseline="0">
              <a:solidFill>
                <a:schemeClr val="dk1"/>
              </a:solidFill>
              <a:latin typeface="+mn-lt"/>
              <a:ea typeface="+mn-ea"/>
              <a:cs typeface="+mn-cs"/>
            </a:rPr>
            <a:t>23. Sincelejo</a:t>
          </a:r>
        </a:p>
        <a:p xmlns:a="http://schemas.openxmlformats.org/drawingml/2006/main">
          <a:pPr marL="0" indent="0"/>
          <a:r>
            <a:rPr lang="es-ES" sz="800" baseline="0">
              <a:solidFill>
                <a:schemeClr val="dk1"/>
              </a:solidFill>
              <a:latin typeface="+mn-lt"/>
              <a:ea typeface="+mn-ea"/>
              <a:cs typeface="+mn-cs"/>
            </a:rPr>
            <a:t>24. Valledupar</a:t>
          </a:r>
        </a:p>
        <a:p xmlns:a="http://schemas.openxmlformats.org/drawingml/2006/main">
          <a:pPr marL="0" indent="0"/>
          <a:r>
            <a:rPr lang="es-ES" sz="800" baseline="0">
              <a:solidFill>
                <a:schemeClr val="dk1"/>
              </a:solidFill>
              <a:latin typeface="+mn-lt"/>
              <a:ea typeface="+mn-ea"/>
              <a:cs typeface="+mn-cs"/>
            </a:rPr>
            <a:t>25. Villavicencio</a:t>
          </a:r>
        </a:p>
        <a:p xmlns:a="http://schemas.openxmlformats.org/drawingml/2006/main">
          <a:pPr marL="0" indent="0"/>
          <a:r>
            <a:rPr lang="es-ES" sz="800" baseline="0">
              <a:solidFill>
                <a:schemeClr val="dk1"/>
              </a:solidFill>
              <a:latin typeface="+mn-lt"/>
              <a:ea typeface="+mn-ea"/>
              <a:cs typeface="+mn-cs"/>
            </a:rPr>
            <a:t>26. Yopal</a:t>
          </a:r>
          <a:endParaRPr lang="es-ES" sz="800"/>
        </a:p>
        <a:p xmlns:a="http://schemas.openxmlformats.org/drawingml/2006/main">
          <a:pPr marL="0" indent="0"/>
          <a:endParaRPr lang="es-ES" sz="800">
            <a:solidFill>
              <a:schemeClr val="dk1"/>
            </a:solidFill>
            <a:latin typeface="+mn-lt"/>
            <a:ea typeface="+mn-ea"/>
            <a:cs typeface="+mn-cs"/>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F7D0D-CEAD-4596-BD15-5C0E345F2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5604</Words>
  <Characters>30822</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mguzmana</dc:creator>
  <cp:lastModifiedBy>jorge eliecer villarreal burbano</cp:lastModifiedBy>
  <cp:revision>2</cp:revision>
  <cp:lastPrinted>2015-08-26T16:19:00Z</cp:lastPrinted>
  <dcterms:created xsi:type="dcterms:W3CDTF">2015-08-26T16:29:00Z</dcterms:created>
  <dcterms:modified xsi:type="dcterms:W3CDTF">2015-08-26T16:29:00Z</dcterms:modified>
</cp:coreProperties>
</file>