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3037" w:rsidRDefault="00EF3037" w:rsidP="00427E83">
      <w:pPr>
        <w:pStyle w:val="Sinespaciado"/>
        <w:rPr>
          <w:rFonts w:ascii="Monotype Corsiva" w:hAnsi="Monotype Corsiva"/>
          <w:b/>
          <w:sz w:val="24"/>
          <w:lang w:val="es-CO"/>
        </w:rPr>
      </w:pPr>
    </w:p>
    <w:p w:rsidR="00493869" w:rsidRDefault="00493869" w:rsidP="00427E83">
      <w:pPr>
        <w:pStyle w:val="Sinespaciado"/>
        <w:rPr>
          <w:rFonts w:ascii="Monotype Corsiva" w:hAnsi="Monotype Corsiva"/>
          <w:b/>
          <w:sz w:val="24"/>
          <w:lang w:val="es-CO"/>
        </w:rPr>
      </w:pPr>
    </w:p>
    <w:p w:rsidR="001D3C29" w:rsidRPr="001D3C29" w:rsidRDefault="001D3C29" w:rsidP="001D3C29">
      <w:pPr>
        <w:widowControl/>
        <w:suppressAutoHyphens w:val="0"/>
        <w:jc w:val="center"/>
        <w:rPr>
          <w:rFonts w:ascii="Arial" w:eastAsia="Times New Roman" w:hAnsi="Arial" w:cs="Arial"/>
          <w:b/>
          <w:kern w:val="0"/>
          <w:lang w:eastAsia="es-ES"/>
        </w:rPr>
      </w:pPr>
    </w:p>
    <w:p w:rsidR="001D3C29" w:rsidRPr="001D3C29" w:rsidRDefault="001D3C29" w:rsidP="001D3C29">
      <w:pPr>
        <w:widowControl/>
        <w:suppressAutoHyphens w:val="0"/>
        <w:jc w:val="center"/>
        <w:rPr>
          <w:rFonts w:ascii="Arial" w:eastAsia="Times New Roman" w:hAnsi="Arial" w:cs="Arial"/>
          <w:b/>
          <w:kern w:val="0"/>
          <w:lang w:eastAsia="es-ES"/>
        </w:rPr>
      </w:pPr>
      <w:r w:rsidRPr="001D3C29">
        <w:rPr>
          <w:rFonts w:ascii="Arial" w:eastAsia="Times New Roman" w:hAnsi="Arial" w:cs="Arial"/>
          <w:b/>
          <w:kern w:val="0"/>
          <w:lang w:eastAsia="es-ES"/>
        </w:rPr>
        <w:t xml:space="preserve">PROYECTO DE LEY N° </w:t>
      </w:r>
      <w:r w:rsidR="00AF69B1">
        <w:rPr>
          <w:rFonts w:ascii="Arial" w:eastAsia="Times New Roman" w:hAnsi="Arial" w:cs="Arial"/>
          <w:b/>
          <w:kern w:val="0"/>
          <w:lang w:eastAsia="es-ES"/>
        </w:rPr>
        <w:t>148 - 2015</w:t>
      </w:r>
      <w:bookmarkStart w:id="0" w:name="_GoBack"/>
      <w:bookmarkEnd w:id="0"/>
    </w:p>
    <w:p w:rsidR="001D3C29" w:rsidRPr="001D3C29" w:rsidRDefault="001D3C29" w:rsidP="001D3C29">
      <w:pPr>
        <w:widowControl/>
        <w:suppressAutoHyphens w:val="0"/>
        <w:jc w:val="center"/>
        <w:rPr>
          <w:rFonts w:ascii="Arial" w:eastAsia="Times New Roman" w:hAnsi="Arial" w:cs="Arial"/>
          <w:b/>
          <w:kern w:val="0"/>
          <w:lang w:eastAsia="es-ES"/>
        </w:rPr>
      </w:pPr>
    </w:p>
    <w:p w:rsidR="001D3C29" w:rsidRPr="001D3C29" w:rsidRDefault="001D3C29" w:rsidP="001D3C29">
      <w:pPr>
        <w:widowControl/>
        <w:suppressAutoHyphens w:val="0"/>
        <w:autoSpaceDE w:val="0"/>
        <w:autoSpaceDN w:val="0"/>
        <w:adjustRightInd w:val="0"/>
        <w:jc w:val="both"/>
        <w:rPr>
          <w:rFonts w:ascii="Arial" w:eastAsia="Times New Roman" w:hAnsi="Arial" w:cs="Arial"/>
          <w:b/>
          <w:kern w:val="0"/>
          <w:lang w:val="es-ES" w:eastAsia="es-ES"/>
        </w:rPr>
      </w:pPr>
    </w:p>
    <w:p w:rsidR="001D3C29" w:rsidRPr="001D3C29" w:rsidRDefault="001D3C29" w:rsidP="001D3C29">
      <w:pPr>
        <w:widowControl/>
        <w:suppressAutoHyphens w:val="0"/>
        <w:autoSpaceDE w:val="0"/>
        <w:autoSpaceDN w:val="0"/>
        <w:adjustRightInd w:val="0"/>
        <w:jc w:val="both"/>
        <w:rPr>
          <w:rFonts w:ascii="Arial" w:eastAsia="Times New Roman" w:hAnsi="Arial" w:cs="Arial"/>
          <w:b/>
          <w:bCs/>
          <w:color w:val="000000"/>
          <w:kern w:val="0"/>
          <w:shd w:val="clear" w:color="auto" w:fill="FFFFFF"/>
          <w:lang w:eastAsia="es-ES"/>
        </w:rPr>
      </w:pPr>
      <w:r w:rsidRPr="001D3C29">
        <w:rPr>
          <w:rFonts w:ascii="Arial" w:eastAsia="Times New Roman" w:hAnsi="Arial" w:cs="Arial"/>
          <w:b/>
          <w:bCs/>
          <w:color w:val="000000"/>
          <w:kern w:val="0"/>
          <w:shd w:val="clear" w:color="auto" w:fill="FFFFFF"/>
          <w:lang w:eastAsia="es-ES"/>
        </w:rPr>
        <w:t>Por medio del cual se establecen disposiciones para garantizar el derecho de los niños y niñas a desarrollarse física e intelectualmente en un ambiente libre de plomo, se fijan límites para el contenido de plomo en productos comercializados en el país y se dictan otras disposiciones.</w:t>
      </w:r>
    </w:p>
    <w:p w:rsidR="001D3C29" w:rsidRPr="001D3C29" w:rsidRDefault="001D3C29" w:rsidP="001D3C29">
      <w:pPr>
        <w:widowControl/>
        <w:suppressAutoHyphens w:val="0"/>
        <w:autoSpaceDE w:val="0"/>
        <w:autoSpaceDN w:val="0"/>
        <w:adjustRightInd w:val="0"/>
        <w:jc w:val="both"/>
        <w:rPr>
          <w:rFonts w:ascii="Arial" w:eastAsia="Times New Roman" w:hAnsi="Arial" w:cs="Arial"/>
          <w:b/>
          <w:kern w:val="0"/>
          <w:lang w:val="es-ES" w:eastAsia="es-ES"/>
        </w:rPr>
      </w:pPr>
    </w:p>
    <w:p w:rsidR="001D3C29" w:rsidRPr="001D3C29" w:rsidRDefault="001D3C29" w:rsidP="001D3C29">
      <w:pPr>
        <w:widowControl/>
        <w:suppressAutoHyphens w:val="0"/>
        <w:autoSpaceDE w:val="0"/>
        <w:autoSpaceDN w:val="0"/>
        <w:adjustRightInd w:val="0"/>
        <w:jc w:val="both"/>
        <w:rPr>
          <w:rFonts w:ascii="Arial" w:eastAsia="Times New Roman" w:hAnsi="Arial" w:cs="Arial"/>
          <w:b/>
          <w:kern w:val="0"/>
          <w:lang w:val="es-ES" w:eastAsia="es-ES"/>
        </w:rPr>
      </w:pPr>
      <w:r w:rsidRPr="001D3C29">
        <w:rPr>
          <w:rFonts w:ascii="Arial" w:eastAsia="Times New Roman" w:hAnsi="Arial" w:cs="Arial"/>
          <w:b/>
          <w:kern w:val="0"/>
          <w:lang w:val="es-ES" w:eastAsia="es-ES"/>
        </w:rPr>
        <w:t>Introducción</w:t>
      </w:r>
    </w:p>
    <w:p w:rsidR="001D3C29" w:rsidRPr="001D3C29" w:rsidRDefault="001D3C29" w:rsidP="001D3C29">
      <w:pPr>
        <w:widowControl/>
        <w:suppressAutoHyphens w:val="0"/>
        <w:autoSpaceDE w:val="0"/>
        <w:autoSpaceDN w:val="0"/>
        <w:adjustRightInd w:val="0"/>
        <w:jc w:val="both"/>
        <w:rPr>
          <w:rFonts w:ascii="Arial" w:eastAsia="Times New Roman" w:hAnsi="Arial" w:cs="Arial"/>
          <w:b/>
          <w:kern w:val="0"/>
          <w:lang w:val="es-ES" w:eastAsia="es-ES"/>
        </w:rPr>
      </w:pPr>
    </w:p>
    <w:p w:rsidR="001D3C29" w:rsidRPr="001D3C29" w:rsidRDefault="001D3C29" w:rsidP="001D3C29">
      <w:pPr>
        <w:widowControl/>
        <w:suppressAutoHyphens w:val="0"/>
        <w:jc w:val="both"/>
        <w:rPr>
          <w:rFonts w:ascii="Arial" w:eastAsia="Times New Roman" w:hAnsi="Arial" w:cs="Arial"/>
          <w:kern w:val="0"/>
          <w:lang w:eastAsia="es-ES"/>
        </w:rPr>
      </w:pPr>
      <w:r w:rsidRPr="001D3C29">
        <w:rPr>
          <w:rFonts w:ascii="Arial" w:eastAsia="Times New Roman" w:hAnsi="Arial" w:cs="Arial"/>
          <w:kern w:val="0"/>
          <w:lang w:eastAsia="es-ES"/>
        </w:rPr>
        <w:t>El derecho ambiental en Colombia</w:t>
      </w:r>
      <w:r w:rsidRPr="001D3C29">
        <w:rPr>
          <w:rFonts w:ascii="Arial" w:eastAsia="Times New Roman" w:hAnsi="Arial" w:cs="Arial"/>
          <w:kern w:val="0"/>
          <w:lang w:val="es-ES" w:eastAsia="es-ES"/>
        </w:rPr>
        <w:t xml:space="preserve"> fue impulsado en 1973, debido a la influencia de la Conferencia de Estocolmo realizada el año inmediatamente anterior, en la cual se establecieron 26 principios y un plan de acción de 10 recomendaciones para la conservación del ambiente (UNEP.org). A través de este documento se fijaron las bases para la Ley 23 de 1973, la cual dio origen al Código Nacional de los Recursos Naturales Renovables y Protección del Medio Ambiente o Decreto Ley 2811 de 1974. Antes de la promulgación de esta Ley no existía una tradición legal ambiental (García, 2003); con la expedición del código, se empezó a hablar en el país de una legislación ambiental (Sánchez, 2002).</w:t>
      </w:r>
    </w:p>
    <w:p w:rsidR="001D3C29" w:rsidRPr="001D3C29" w:rsidRDefault="001D3C29" w:rsidP="001D3C29">
      <w:pPr>
        <w:widowControl/>
        <w:suppressAutoHyphens w:val="0"/>
        <w:jc w:val="both"/>
        <w:rPr>
          <w:rFonts w:ascii="Arial" w:eastAsia="Times New Roman" w:hAnsi="Arial" w:cs="Arial"/>
          <w:kern w:val="0"/>
          <w:lang w:eastAsia="es-ES"/>
        </w:rPr>
      </w:pPr>
    </w:p>
    <w:p w:rsidR="001D3C29" w:rsidRPr="001D3C29" w:rsidRDefault="001D3C29" w:rsidP="001D3C29">
      <w:pPr>
        <w:widowControl/>
        <w:suppressAutoHyphens w:val="0"/>
        <w:jc w:val="both"/>
        <w:rPr>
          <w:rFonts w:ascii="Arial" w:eastAsia="Times New Roman" w:hAnsi="Arial" w:cs="Arial"/>
          <w:kern w:val="0"/>
          <w:lang w:val="es-CO" w:eastAsia="es-ES"/>
        </w:rPr>
      </w:pPr>
      <w:r w:rsidRPr="001D3C29">
        <w:rPr>
          <w:rFonts w:ascii="Arial" w:eastAsia="Times New Roman" w:hAnsi="Arial" w:cs="Arial"/>
          <w:kern w:val="0"/>
          <w:lang w:val="es-ES" w:eastAsia="es-ES"/>
        </w:rPr>
        <w:t>En el orden jurídico nacional, los momentos que han marcado la evolución de la legislación ambiental son: la expedición del Código Nacional de los Recursos Naturales Renovables y Protección del Medio Ambiente o Decreto Ley 2811 de 1974; la promulgación de la nueva Constitución en 1991; la aprobación de</w:t>
      </w:r>
      <w:r w:rsidR="00844246">
        <w:rPr>
          <w:rFonts w:ascii="Arial" w:eastAsia="Times New Roman" w:hAnsi="Arial" w:cs="Arial"/>
          <w:kern w:val="0"/>
          <w:lang w:val="es-ES" w:eastAsia="es-ES"/>
        </w:rPr>
        <w:t xml:space="preserve"> la Ley 99 en 1993; la Ley 152 Orgánica de P</w:t>
      </w:r>
      <w:r w:rsidRPr="001D3C29">
        <w:rPr>
          <w:rFonts w:ascii="Arial" w:eastAsia="Times New Roman" w:hAnsi="Arial" w:cs="Arial"/>
          <w:kern w:val="0"/>
          <w:lang w:val="es-ES" w:eastAsia="es-ES"/>
        </w:rPr>
        <w:t xml:space="preserve">laneación en 1994; y la Ley 188 en 1995. Sin duda alguna, estos </w:t>
      </w:r>
      <w:r w:rsidRPr="001D3C29">
        <w:rPr>
          <w:rFonts w:ascii="Arial" w:eastAsia="Times New Roman" w:hAnsi="Arial" w:cs="Arial"/>
          <w:kern w:val="0"/>
          <w:lang w:val="es-CO" w:eastAsia="es-ES"/>
        </w:rPr>
        <w:t>resumen la evolución de la política ambiental en Colombia en materia legi</w:t>
      </w:r>
      <w:r w:rsidR="00844246">
        <w:rPr>
          <w:rFonts w:ascii="Arial" w:eastAsia="Times New Roman" w:hAnsi="Arial" w:cs="Arial"/>
          <w:kern w:val="0"/>
          <w:lang w:val="es-CO" w:eastAsia="es-ES"/>
        </w:rPr>
        <w:t>slativa (Ponce, 1997). Con las L</w:t>
      </w:r>
      <w:r w:rsidRPr="001D3C29">
        <w:rPr>
          <w:rFonts w:ascii="Arial" w:eastAsia="Times New Roman" w:hAnsi="Arial" w:cs="Arial"/>
          <w:kern w:val="0"/>
          <w:lang w:val="es-CO" w:eastAsia="es-ES"/>
        </w:rPr>
        <w:t xml:space="preserve">eyes 152 de 1994 y 188 de 1995, (aunque no pertenecientes a la órbita del derecho ambiental), aportan y constituyen un impulso a la legislación ambiental en Colombia (Sánchez, 2002). </w:t>
      </w:r>
    </w:p>
    <w:p w:rsidR="001D3C29" w:rsidRPr="001D3C29" w:rsidRDefault="001D3C29" w:rsidP="001D3C29">
      <w:pPr>
        <w:widowControl/>
        <w:suppressAutoHyphens w:val="0"/>
        <w:jc w:val="both"/>
        <w:rPr>
          <w:rFonts w:ascii="Arial" w:eastAsia="Times New Roman" w:hAnsi="Arial" w:cs="Arial"/>
          <w:kern w:val="0"/>
          <w:lang w:val="es-CO" w:eastAsia="es-ES"/>
        </w:rPr>
      </w:pPr>
    </w:p>
    <w:p w:rsidR="001D3C29" w:rsidRPr="001D3C29" w:rsidRDefault="001D3C29" w:rsidP="001D3C29">
      <w:pPr>
        <w:widowControl/>
        <w:suppressAutoHyphens w:val="0"/>
        <w:jc w:val="both"/>
        <w:rPr>
          <w:rFonts w:ascii="Arial" w:eastAsia="Times New Roman" w:hAnsi="Arial" w:cs="Arial"/>
          <w:kern w:val="0"/>
          <w:lang w:val="es-ES" w:eastAsia="es-ES"/>
        </w:rPr>
      </w:pPr>
      <w:r w:rsidRPr="001D3C29">
        <w:rPr>
          <w:rFonts w:ascii="Arial" w:eastAsia="Times New Roman" w:hAnsi="Arial" w:cs="Arial"/>
          <w:kern w:val="0"/>
          <w:lang w:val="es-CO" w:eastAsia="es-ES"/>
        </w:rPr>
        <w:t xml:space="preserve">A pesar de que Colombia posee leyes claras y una conciencia ambiental, muchas de estas normas no se hacen cumplir; además existen </w:t>
      </w:r>
      <w:r w:rsidRPr="001D3C29">
        <w:rPr>
          <w:rFonts w:ascii="Arial" w:eastAsia="Times New Roman" w:hAnsi="Arial" w:cs="Arial"/>
          <w:kern w:val="0"/>
          <w:lang w:val="es-ES" w:eastAsia="es-ES"/>
        </w:rPr>
        <w:t xml:space="preserve">vacíos, temas aún sin regular y casos realmente críticos en los que se piensa en la existencia de intereses particulares y de una </w:t>
      </w:r>
      <w:r w:rsidRPr="001D3C29">
        <w:rPr>
          <w:rFonts w:ascii="Arial" w:eastAsia="Times New Roman" w:hAnsi="Arial" w:cs="Arial"/>
          <w:kern w:val="0"/>
          <w:lang w:val="es-CO" w:eastAsia="es-ES"/>
        </w:rPr>
        <w:t xml:space="preserve">falta de seguimiento y control. Algunas de las áreas tienen que ver con la </w:t>
      </w:r>
      <w:r w:rsidR="00844246">
        <w:rPr>
          <w:rFonts w:ascii="Arial" w:eastAsia="Times New Roman" w:hAnsi="Arial" w:cs="Arial"/>
          <w:kern w:val="0"/>
          <w:lang w:val="es-ES" w:eastAsia="es-ES"/>
        </w:rPr>
        <w:t>contaminación por p</w:t>
      </w:r>
      <w:r w:rsidRPr="001D3C29">
        <w:rPr>
          <w:rFonts w:ascii="Arial" w:eastAsia="Times New Roman" w:hAnsi="Arial" w:cs="Arial"/>
          <w:kern w:val="0"/>
          <w:lang w:val="es-ES" w:eastAsia="es-ES"/>
        </w:rPr>
        <w:t>lomo y otros metales pesados. La importancia de este tema en particular radica en la conexidad con el derecho a la salud. De hecho, la exposición a contaminantes ambientales puede resultar en enfermedades, muchas veces irreversibles.</w:t>
      </w:r>
    </w:p>
    <w:p w:rsidR="001D3C29" w:rsidRPr="001D3C29" w:rsidRDefault="001D3C29" w:rsidP="001D3C29">
      <w:pPr>
        <w:widowControl/>
        <w:suppressAutoHyphens w:val="0"/>
        <w:jc w:val="both"/>
        <w:rPr>
          <w:rFonts w:ascii="Arial" w:eastAsia="Times New Roman" w:hAnsi="Arial" w:cs="Arial"/>
          <w:kern w:val="0"/>
          <w:lang w:eastAsia="es-ES"/>
        </w:rPr>
      </w:pPr>
      <w:bookmarkStart w:id="1" w:name="_Toc297087357"/>
      <w:bookmarkStart w:id="2" w:name="_Toc297087427"/>
      <w:bookmarkStart w:id="3" w:name="_Toc297183287"/>
      <w:bookmarkStart w:id="4" w:name="_Toc297282242"/>
      <w:bookmarkStart w:id="5" w:name="_Toc297288073"/>
      <w:bookmarkStart w:id="6" w:name="_Toc297625623"/>
      <w:bookmarkStart w:id="7" w:name="_Toc299034135"/>
      <w:bookmarkStart w:id="8" w:name="_Toc299280819"/>
      <w:bookmarkStart w:id="9" w:name="_Toc299289539"/>
      <w:bookmarkStart w:id="10" w:name="_Toc316736095"/>
    </w:p>
    <w:p w:rsidR="001D3C29" w:rsidRPr="001D3C29" w:rsidRDefault="001D3C29" w:rsidP="001D3C29">
      <w:pPr>
        <w:widowControl/>
        <w:suppressAutoHyphens w:val="0"/>
        <w:jc w:val="both"/>
        <w:rPr>
          <w:rFonts w:ascii="Arial" w:eastAsia="Times New Roman" w:hAnsi="Arial" w:cs="Arial"/>
          <w:kern w:val="0"/>
          <w:lang w:eastAsia="es-ES"/>
        </w:rPr>
      </w:pPr>
      <w:r w:rsidRPr="001D3C29">
        <w:rPr>
          <w:rFonts w:ascii="Arial" w:eastAsia="Times New Roman" w:hAnsi="Arial" w:cs="Arial"/>
          <w:kern w:val="0"/>
          <w:lang w:eastAsia="es-ES"/>
        </w:rPr>
        <w:lastRenderedPageBreak/>
        <w:t xml:space="preserve">Por lo anterior se inició la tarea de estudiar la normatividad nacional sobre algunos de estos temas, en especial lo relacionado con metales pesados y parásitos, sin encontrar mayores resultados. Este proyecto, por tanto, constituye una posibilidad para iniciar procesos legislativos que permitan dimensionar la magnitud del problema, y por supuesto, </w:t>
      </w:r>
      <w:r w:rsidR="00844246">
        <w:rPr>
          <w:rFonts w:ascii="Arial" w:eastAsia="Times New Roman" w:hAnsi="Arial" w:cs="Arial"/>
          <w:kern w:val="0"/>
          <w:lang w:eastAsia="es-ES"/>
        </w:rPr>
        <w:t>general soluciones a los mismos</w:t>
      </w:r>
      <w:r w:rsidRPr="001D3C29">
        <w:rPr>
          <w:rFonts w:ascii="Arial" w:eastAsia="Times New Roman" w:hAnsi="Arial" w:cs="Arial"/>
          <w:kern w:val="0"/>
          <w:lang w:eastAsia="es-ES"/>
        </w:rPr>
        <w:t xml:space="preserve"> como un compromiso del estado para proteger la salud de las personas.</w:t>
      </w:r>
    </w:p>
    <w:p w:rsidR="001D3C29" w:rsidRPr="001D3C29" w:rsidRDefault="001D3C29" w:rsidP="001D3C29">
      <w:pPr>
        <w:widowControl/>
        <w:suppressAutoHyphens w:val="0"/>
        <w:jc w:val="both"/>
        <w:rPr>
          <w:rFonts w:ascii="Arial" w:eastAsia="Times New Roman" w:hAnsi="Arial" w:cs="Arial"/>
          <w:kern w:val="0"/>
          <w:lang w:eastAsia="es-ES"/>
        </w:rPr>
      </w:pPr>
      <w:bookmarkStart w:id="11" w:name="_Toc297087358"/>
      <w:bookmarkStart w:id="12" w:name="_Toc297087428"/>
      <w:bookmarkStart w:id="13" w:name="_Toc297183288"/>
      <w:bookmarkStart w:id="14" w:name="_Toc297282243"/>
      <w:bookmarkStart w:id="15" w:name="_Toc297288074"/>
      <w:bookmarkStart w:id="16" w:name="_Toc297625624"/>
      <w:bookmarkStart w:id="17" w:name="_Toc299034136"/>
      <w:bookmarkStart w:id="18" w:name="_Toc299280820"/>
      <w:bookmarkStart w:id="19" w:name="_Toc299289540"/>
      <w:bookmarkStart w:id="20" w:name="_Toc316736096"/>
      <w:bookmarkEnd w:id="1"/>
      <w:bookmarkEnd w:id="2"/>
      <w:bookmarkEnd w:id="3"/>
      <w:bookmarkEnd w:id="4"/>
      <w:bookmarkEnd w:id="5"/>
      <w:bookmarkEnd w:id="6"/>
      <w:bookmarkEnd w:id="7"/>
      <w:bookmarkEnd w:id="8"/>
      <w:bookmarkEnd w:id="9"/>
      <w:bookmarkEnd w:id="10"/>
    </w:p>
    <w:bookmarkEnd w:id="11"/>
    <w:bookmarkEnd w:id="12"/>
    <w:bookmarkEnd w:id="13"/>
    <w:bookmarkEnd w:id="14"/>
    <w:bookmarkEnd w:id="15"/>
    <w:bookmarkEnd w:id="16"/>
    <w:bookmarkEnd w:id="17"/>
    <w:bookmarkEnd w:id="18"/>
    <w:bookmarkEnd w:id="19"/>
    <w:bookmarkEnd w:id="20"/>
    <w:p w:rsidR="001D3C29" w:rsidRPr="001D3C29" w:rsidRDefault="001D3C29" w:rsidP="001D3C29">
      <w:pPr>
        <w:widowControl/>
        <w:suppressAutoHyphens w:val="0"/>
        <w:jc w:val="both"/>
        <w:rPr>
          <w:rFonts w:ascii="Arial" w:eastAsia="Times New Roman" w:hAnsi="Arial" w:cs="Arial"/>
          <w:kern w:val="0"/>
          <w:lang w:val="es-CO" w:eastAsia="es-ES"/>
        </w:rPr>
      </w:pPr>
    </w:p>
    <w:p w:rsidR="001D3C29" w:rsidRPr="001D3C29" w:rsidRDefault="001D3C29" w:rsidP="001D3C29">
      <w:pPr>
        <w:widowControl/>
        <w:suppressAutoHyphens w:val="0"/>
        <w:rPr>
          <w:rFonts w:ascii="Arial" w:eastAsia="Times New Roman" w:hAnsi="Arial" w:cs="Arial"/>
          <w:b/>
          <w:kern w:val="0"/>
          <w:lang w:eastAsia="es-ES"/>
        </w:rPr>
      </w:pPr>
      <w:r w:rsidRPr="001D3C29">
        <w:rPr>
          <w:rFonts w:ascii="Arial" w:eastAsia="Times New Roman" w:hAnsi="Arial" w:cs="Arial"/>
          <w:b/>
          <w:kern w:val="0"/>
          <w:lang w:eastAsia="es-ES"/>
        </w:rPr>
        <w:br w:type="page"/>
      </w:r>
    </w:p>
    <w:p w:rsidR="005963EC" w:rsidRDefault="005963EC" w:rsidP="001D3C29">
      <w:pPr>
        <w:widowControl/>
        <w:suppressAutoHyphens w:val="0"/>
        <w:jc w:val="center"/>
        <w:rPr>
          <w:rFonts w:ascii="Arial" w:eastAsia="Times New Roman" w:hAnsi="Arial" w:cs="Arial"/>
          <w:b/>
          <w:kern w:val="0"/>
          <w:lang w:val="es-ES" w:eastAsia="es-ES"/>
        </w:rPr>
      </w:pPr>
    </w:p>
    <w:p w:rsidR="003D6A1A" w:rsidRDefault="003D6A1A" w:rsidP="001D3C29">
      <w:pPr>
        <w:widowControl/>
        <w:suppressAutoHyphens w:val="0"/>
        <w:jc w:val="center"/>
        <w:rPr>
          <w:rFonts w:ascii="Arial" w:eastAsia="Times New Roman" w:hAnsi="Arial" w:cs="Arial"/>
          <w:b/>
          <w:kern w:val="0"/>
          <w:lang w:val="es-ES" w:eastAsia="es-ES"/>
        </w:rPr>
      </w:pPr>
    </w:p>
    <w:p w:rsidR="001D3C29" w:rsidRPr="001D3C29" w:rsidRDefault="001D3C29" w:rsidP="001D3C29">
      <w:pPr>
        <w:widowControl/>
        <w:suppressAutoHyphens w:val="0"/>
        <w:jc w:val="center"/>
        <w:rPr>
          <w:rFonts w:ascii="Arial" w:eastAsia="Times New Roman" w:hAnsi="Arial" w:cs="Arial"/>
          <w:b/>
          <w:kern w:val="0"/>
          <w:lang w:val="es-ES" w:eastAsia="es-ES"/>
        </w:rPr>
      </w:pPr>
      <w:r w:rsidRPr="001D3C29">
        <w:rPr>
          <w:rFonts w:ascii="Arial" w:eastAsia="Times New Roman" w:hAnsi="Arial" w:cs="Arial"/>
          <w:b/>
          <w:kern w:val="0"/>
          <w:lang w:val="es-ES" w:eastAsia="es-ES"/>
        </w:rPr>
        <w:t>EXPOSICION DE MOTIVOS</w:t>
      </w:r>
    </w:p>
    <w:p w:rsidR="001D3C29" w:rsidRPr="001D3C29" w:rsidRDefault="001D3C29" w:rsidP="001D3C29">
      <w:pPr>
        <w:widowControl/>
        <w:suppressAutoHyphens w:val="0"/>
        <w:jc w:val="center"/>
        <w:rPr>
          <w:rFonts w:ascii="Arial" w:eastAsia="Times New Roman" w:hAnsi="Arial" w:cs="Arial"/>
          <w:b/>
          <w:kern w:val="0"/>
          <w:lang w:val="es-ES" w:eastAsia="es-ES"/>
        </w:rPr>
      </w:pPr>
    </w:p>
    <w:p w:rsidR="001D3C29" w:rsidRPr="001D3C29" w:rsidRDefault="001D3C29" w:rsidP="001D3C29">
      <w:pPr>
        <w:widowControl/>
        <w:suppressAutoHyphens w:val="0"/>
        <w:jc w:val="both"/>
        <w:rPr>
          <w:rFonts w:ascii="Arial" w:eastAsia="Times New Roman" w:hAnsi="Arial" w:cs="Arial"/>
          <w:kern w:val="0"/>
          <w:lang w:val="es-ES" w:eastAsia="es-ES"/>
        </w:rPr>
      </w:pPr>
    </w:p>
    <w:p w:rsidR="001D3C29" w:rsidRPr="001D3C29" w:rsidRDefault="001D3C29" w:rsidP="001D3C29">
      <w:pPr>
        <w:widowControl/>
        <w:suppressAutoHyphens w:val="0"/>
        <w:jc w:val="both"/>
        <w:rPr>
          <w:rFonts w:ascii="Arial" w:eastAsia="Times New Roman" w:hAnsi="Arial" w:cs="Arial"/>
          <w:kern w:val="0"/>
          <w:lang w:val="es-ES" w:eastAsia="es-ES"/>
        </w:rPr>
      </w:pPr>
      <w:r w:rsidRPr="001D3C29">
        <w:rPr>
          <w:rFonts w:ascii="Arial" w:eastAsia="Times New Roman" w:hAnsi="Arial" w:cs="Arial"/>
          <w:kern w:val="0"/>
          <w:lang w:val="es-ES" w:eastAsia="es-ES"/>
        </w:rPr>
        <w:t>Como resultado de un proceso de investigación</w:t>
      </w:r>
      <w:r w:rsidR="00681E82">
        <w:rPr>
          <w:rFonts w:ascii="Arial" w:eastAsia="Times New Roman" w:hAnsi="Arial" w:cs="Arial"/>
          <w:kern w:val="0"/>
          <w:lang w:val="es-ES" w:eastAsia="es-ES"/>
        </w:rPr>
        <w:t xml:space="preserve"> </w:t>
      </w:r>
      <w:r w:rsidRPr="001D3C29">
        <w:rPr>
          <w:rFonts w:ascii="Arial" w:eastAsia="Times New Roman" w:hAnsi="Arial" w:cs="Arial"/>
          <w:kern w:val="0"/>
          <w:lang w:val="es-ES" w:eastAsia="es-ES"/>
        </w:rPr>
        <w:t xml:space="preserve">integral desarrollado por El Grupo de Investigación de Química Ambiental y Computacional de la Facultad de Química Farmacéutica de la Universidad de Cartagena, en </w:t>
      </w:r>
      <w:r w:rsidR="00844246">
        <w:rPr>
          <w:rFonts w:ascii="Arial" w:eastAsia="Times New Roman" w:hAnsi="Arial" w:cs="Arial"/>
          <w:kern w:val="0"/>
          <w:lang w:val="es-ES" w:eastAsia="es-ES"/>
        </w:rPr>
        <w:t>cabeza de JESUS OLIVERO VERBEL Vice-rector de I</w:t>
      </w:r>
      <w:r w:rsidRPr="001D3C29">
        <w:rPr>
          <w:rFonts w:ascii="Arial" w:eastAsia="Times New Roman" w:hAnsi="Arial" w:cs="Arial"/>
          <w:kern w:val="0"/>
          <w:lang w:val="es-ES" w:eastAsia="es-ES"/>
        </w:rPr>
        <w:t>nvestigaciones, se presenta a consideración del Honorable Congreso de la Rep</w:t>
      </w:r>
      <w:r w:rsidR="00844246">
        <w:rPr>
          <w:rFonts w:ascii="Arial" w:eastAsia="Times New Roman" w:hAnsi="Arial" w:cs="Arial"/>
          <w:kern w:val="0"/>
          <w:lang w:val="es-ES" w:eastAsia="es-ES"/>
        </w:rPr>
        <w:t>ública de Colombia el presente P</w:t>
      </w:r>
      <w:r w:rsidRPr="001D3C29">
        <w:rPr>
          <w:rFonts w:ascii="Arial" w:eastAsia="Times New Roman" w:hAnsi="Arial" w:cs="Arial"/>
          <w:kern w:val="0"/>
          <w:lang w:val="es-ES" w:eastAsia="es-ES"/>
        </w:rPr>
        <w:t>royecto de Ley originado por la necesidad de proferir una legislación ambiental nacional para la regulación del contenido de metales pesados en el ambiente, por los antecedentes y argumentos que se exponen a continuación.</w:t>
      </w:r>
    </w:p>
    <w:p w:rsidR="001D3C29" w:rsidRPr="001D3C29" w:rsidRDefault="001D3C29" w:rsidP="001D3C29">
      <w:pPr>
        <w:widowControl/>
        <w:suppressAutoHyphens w:val="0"/>
        <w:jc w:val="both"/>
        <w:rPr>
          <w:rFonts w:ascii="Arial" w:eastAsia="Times New Roman" w:hAnsi="Arial" w:cs="Arial"/>
          <w:kern w:val="0"/>
          <w:lang w:val="es-ES" w:eastAsia="es-ES"/>
        </w:rPr>
      </w:pPr>
    </w:p>
    <w:p w:rsidR="001D3C29" w:rsidRPr="001D3C29" w:rsidRDefault="001D3C29" w:rsidP="001D3C29">
      <w:pPr>
        <w:widowControl/>
        <w:suppressAutoHyphens w:val="0"/>
        <w:jc w:val="both"/>
        <w:rPr>
          <w:rFonts w:ascii="Arial" w:eastAsia="Times New Roman" w:hAnsi="Arial" w:cs="Arial"/>
          <w:b/>
          <w:kern w:val="0"/>
          <w:lang w:val="es-ES" w:eastAsia="es-ES"/>
        </w:rPr>
      </w:pPr>
      <w:r w:rsidRPr="001D3C29">
        <w:rPr>
          <w:rFonts w:ascii="Arial" w:eastAsia="Times New Roman" w:hAnsi="Arial" w:cs="Arial"/>
          <w:b/>
          <w:kern w:val="0"/>
          <w:lang w:val="es-ES" w:eastAsia="es-ES"/>
        </w:rPr>
        <w:t>CONTEXTO EN EL QUE SE GESTA LA NUEVA LEY DE LA REPÚBLICA</w:t>
      </w:r>
    </w:p>
    <w:p w:rsidR="001D3C29" w:rsidRPr="001D3C29" w:rsidRDefault="001D3C29" w:rsidP="001D3C29">
      <w:pPr>
        <w:widowControl/>
        <w:suppressAutoHyphens w:val="0"/>
        <w:jc w:val="both"/>
        <w:rPr>
          <w:rFonts w:ascii="Arial" w:eastAsia="Times New Roman" w:hAnsi="Arial" w:cs="Arial"/>
          <w:b/>
          <w:kern w:val="0"/>
          <w:lang w:val="es-ES" w:eastAsia="es-ES"/>
        </w:rPr>
      </w:pPr>
    </w:p>
    <w:p w:rsidR="001D3C29" w:rsidRPr="001D3C29" w:rsidRDefault="001D3C29" w:rsidP="001D3C29">
      <w:pPr>
        <w:widowControl/>
        <w:suppressAutoHyphens w:val="0"/>
        <w:spacing w:after="240"/>
        <w:jc w:val="both"/>
        <w:rPr>
          <w:rFonts w:ascii="Arial" w:eastAsia="Times New Roman" w:hAnsi="Arial" w:cs="Arial"/>
          <w:b/>
          <w:kern w:val="0"/>
          <w:lang w:val="es-ES" w:eastAsia="es-ES"/>
        </w:rPr>
      </w:pPr>
      <w:r w:rsidRPr="001D3C29">
        <w:rPr>
          <w:rFonts w:ascii="Arial" w:eastAsia="Times New Roman" w:hAnsi="Arial" w:cs="Arial"/>
          <w:b/>
          <w:kern w:val="0"/>
          <w:lang w:val="es-ES" w:eastAsia="es-ES"/>
        </w:rPr>
        <w:t>El plomo</w:t>
      </w:r>
    </w:p>
    <w:p w:rsidR="001D3C29" w:rsidRPr="001D3C29" w:rsidRDefault="001D3C29" w:rsidP="001D3C29">
      <w:pPr>
        <w:widowControl/>
        <w:suppressAutoHyphens w:val="0"/>
        <w:jc w:val="both"/>
        <w:rPr>
          <w:rFonts w:ascii="Arial" w:eastAsia="Times New Roman" w:hAnsi="Arial" w:cs="Arial"/>
          <w:kern w:val="0"/>
          <w:lang w:val="es-ES" w:eastAsia="es-ES"/>
        </w:rPr>
      </w:pPr>
      <w:r w:rsidRPr="001D3C29">
        <w:rPr>
          <w:rFonts w:ascii="Arial" w:eastAsia="Times New Roman" w:hAnsi="Arial" w:cs="Arial"/>
          <w:kern w:val="0"/>
          <w:lang w:val="es-ES" w:eastAsia="es-ES"/>
        </w:rPr>
        <w:t>Es un elemento químico de la tabla periódica ampliamente encontrado en la corteza terrestre, con símbolo atómico (Pb) y está categorizado dentro de los metales con elevada masa molecular. Posee un color gris-azulado, una contextura maleable y una baja temperatura de fusión. Actualmente es utilizado como aditivo en la fabricación y manufactura de muchos productos tales como: pinturas, sopletes de acetileno, yeso, caucho, vidrio, tuberías para conducción de agua y petróleo; barniz, anticorrosivos, soldaduras de enlatados, plaguicidas, fósforos, cerámicas, baterías, radiadores, combustible para automóviles y aviones, tinta común y para imprenta, entre otros (Klaassen et al., 1999).</w:t>
      </w:r>
    </w:p>
    <w:p w:rsidR="001D3C29" w:rsidRPr="001D3C29" w:rsidRDefault="001D3C29" w:rsidP="001D3C29">
      <w:pPr>
        <w:widowControl/>
        <w:suppressAutoHyphens w:val="0"/>
        <w:jc w:val="both"/>
        <w:rPr>
          <w:rFonts w:ascii="Arial" w:eastAsia="Times New Roman" w:hAnsi="Arial" w:cs="Arial"/>
          <w:kern w:val="0"/>
          <w:lang w:val="es-ES" w:eastAsia="es-ES"/>
        </w:rPr>
      </w:pPr>
    </w:p>
    <w:p w:rsidR="001D3C29" w:rsidRPr="001D3C29" w:rsidRDefault="001D3C29" w:rsidP="001D3C29">
      <w:pPr>
        <w:widowControl/>
        <w:suppressAutoHyphens w:val="0"/>
        <w:jc w:val="both"/>
        <w:rPr>
          <w:rFonts w:ascii="Arial" w:eastAsia="Times New Roman" w:hAnsi="Arial" w:cs="Arial"/>
          <w:kern w:val="0"/>
          <w:lang w:val="es-ES" w:eastAsia="es-ES"/>
        </w:rPr>
      </w:pPr>
      <w:r w:rsidRPr="001D3C29">
        <w:rPr>
          <w:rFonts w:ascii="Arial" w:eastAsia="Times New Roman" w:hAnsi="Arial" w:cs="Arial"/>
          <w:kern w:val="0"/>
          <w:lang w:val="es-ES" w:eastAsia="es-ES"/>
        </w:rPr>
        <w:t>A través de la historia se han descrito sintomatologías, por intoxicación con este metal, donde en el año 370 A.C., Hipócrates describió clínicamente con detalle la sintomatología por envenenamiento con Pb y la denominó "cólico saturnino". Hacia el año 200 A.C. la exposición al Pb fue relacionada con palidez, estreñimiento, cólicos y parálisis e incluso, pudo ser uno de los motivos por los que pudo haber caído el imperio romano, producto de hervir el jugo de uvas en ollas fabricadas con este metal, por el almacenamiento de las bebidas en recipientes revestidos con el metal, así como las tuberías de plomo de las cuales aún quedan vestigios con las insignias de los emperadores romanos. Aun, en los siglos XVIII y XIX, el saturnismo pudo conducir a una disminución de los británicos de clase alta, provocada por el alto consumo de vino oporto contaminado (</w:t>
      </w:r>
      <w:proofErr w:type="spellStart"/>
      <w:r w:rsidRPr="001D3C29">
        <w:rPr>
          <w:rFonts w:ascii="Arial" w:eastAsia="Times New Roman" w:hAnsi="Arial" w:cs="Arial"/>
          <w:kern w:val="0"/>
          <w:lang w:val="es-ES" w:eastAsia="es-ES"/>
        </w:rPr>
        <w:t>Graeme</w:t>
      </w:r>
      <w:proofErr w:type="spellEnd"/>
      <w:r w:rsidRPr="001D3C29">
        <w:rPr>
          <w:rFonts w:ascii="Arial" w:eastAsia="Times New Roman" w:hAnsi="Arial" w:cs="Arial"/>
          <w:kern w:val="0"/>
          <w:lang w:val="es-ES" w:eastAsia="es-ES"/>
        </w:rPr>
        <w:t xml:space="preserve"> y </w:t>
      </w:r>
      <w:proofErr w:type="spellStart"/>
      <w:r w:rsidRPr="001D3C29">
        <w:rPr>
          <w:rFonts w:ascii="Arial" w:eastAsia="Times New Roman" w:hAnsi="Arial" w:cs="Arial"/>
          <w:kern w:val="0"/>
          <w:lang w:val="es-ES" w:eastAsia="es-ES"/>
        </w:rPr>
        <w:t>Pollack</w:t>
      </w:r>
      <w:proofErr w:type="spellEnd"/>
      <w:r w:rsidRPr="001D3C29">
        <w:rPr>
          <w:rFonts w:ascii="Arial" w:eastAsia="Times New Roman" w:hAnsi="Arial" w:cs="Arial"/>
          <w:kern w:val="0"/>
          <w:lang w:val="es-ES" w:eastAsia="es-ES"/>
        </w:rPr>
        <w:t>, 1998).</w:t>
      </w:r>
    </w:p>
    <w:p w:rsidR="001D3C29" w:rsidRDefault="001D3C29" w:rsidP="001D3C29">
      <w:pPr>
        <w:widowControl/>
        <w:suppressAutoHyphens w:val="0"/>
        <w:jc w:val="both"/>
        <w:rPr>
          <w:rFonts w:ascii="Arial" w:eastAsia="Times New Roman" w:hAnsi="Arial" w:cs="Arial"/>
          <w:kern w:val="0"/>
          <w:lang w:val="es-ES" w:eastAsia="es-ES"/>
        </w:rPr>
      </w:pPr>
    </w:p>
    <w:p w:rsidR="003D6A1A" w:rsidRDefault="003D6A1A" w:rsidP="001D3C29">
      <w:pPr>
        <w:widowControl/>
        <w:suppressAutoHyphens w:val="0"/>
        <w:jc w:val="both"/>
        <w:rPr>
          <w:rFonts w:ascii="Arial" w:eastAsia="Times New Roman" w:hAnsi="Arial" w:cs="Arial"/>
          <w:kern w:val="0"/>
          <w:lang w:val="es-ES" w:eastAsia="es-ES"/>
        </w:rPr>
      </w:pPr>
    </w:p>
    <w:p w:rsidR="003D6A1A" w:rsidRPr="001D3C29" w:rsidRDefault="003D6A1A" w:rsidP="001D3C29">
      <w:pPr>
        <w:widowControl/>
        <w:suppressAutoHyphens w:val="0"/>
        <w:jc w:val="both"/>
        <w:rPr>
          <w:rFonts w:ascii="Arial" w:eastAsia="Times New Roman" w:hAnsi="Arial" w:cs="Arial"/>
          <w:kern w:val="0"/>
          <w:lang w:val="es-ES" w:eastAsia="es-ES"/>
        </w:rPr>
      </w:pPr>
    </w:p>
    <w:p w:rsidR="003D6A1A" w:rsidRDefault="003D6A1A" w:rsidP="001D3C29">
      <w:pPr>
        <w:widowControl/>
        <w:suppressAutoHyphens w:val="0"/>
        <w:jc w:val="both"/>
        <w:rPr>
          <w:rFonts w:ascii="Arial" w:eastAsia="Times New Roman" w:hAnsi="Arial" w:cs="Arial"/>
          <w:kern w:val="0"/>
          <w:lang w:val="es-ES" w:eastAsia="es-ES"/>
        </w:rPr>
      </w:pPr>
    </w:p>
    <w:p w:rsidR="001D3C29" w:rsidRDefault="001D3C29" w:rsidP="001D3C29">
      <w:pPr>
        <w:widowControl/>
        <w:suppressAutoHyphens w:val="0"/>
        <w:jc w:val="both"/>
        <w:rPr>
          <w:rFonts w:ascii="Arial" w:eastAsia="Times New Roman" w:hAnsi="Arial" w:cs="Arial"/>
          <w:kern w:val="0"/>
          <w:lang w:val="es-CO" w:eastAsia="es-CO"/>
        </w:rPr>
      </w:pPr>
      <w:r w:rsidRPr="001D3C29">
        <w:rPr>
          <w:rFonts w:ascii="Arial" w:eastAsia="Times New Roman" w:hAnsi="Arial" w:cs="Arial"/>
          <w:kern w:val="0"/>
          <w:lang w:val="es-ES" w:eastAsia="es-ES"/>
        </w:rPr>
        <w:t xml:space="preserve">En la actualidad, este elemento es considerado como potencialmente tóxico, además de no tener ninguna función fisiológica para el ser humano. Las intoxicaciones por este agente son conocidas comúnmente con el nombre de plumbemia o saturnismo y afectan a casi todos los órganos y sistemas en el cuerpo siendo el más sensible es el sistema nervioso central y periférico, induciendo alteraciones neurológicas y conductuales, especialmente a los niños  (WHO, 2006; WHO 2003). También puede producir debilidad en los dedos, las muñecas o los tobillos. </w:t>
      </w:r>
      <w:r w:rsidRPr="001D3C29">
        <w:rPr>
          <w:rFonts w:ascii="Arial" w:eastAsia="Times New Roman" w:hAnsi="Arial" w:cs="Arial"/>
          <w:kern w:val="0"/>
          <w:lang w:val="es-CO" w:eastAsia="es-CO"/>
        </w:rPr>
        <w:t>En mujeres embarazadas, la exposición a niveles altos de plomo puede producir pérdida del embarazo y en hombres, puede alterar la producción de espermatozoides (ATSDR, 2007b).</w:t>
      </w:r>
    </w:p>
    <w:p w:rsidR="000F18AD" w:rsidRDefault="000F18AD" w:rsidP="001D3C29">
      <w:pPr>
        <w:widowControl/>
        <w:suppressAutoHyphens w:val="0"/>
        <w:jc w:val="both"/>
        <w:rPr>
          <w:rFonts w:ascii="Arial" w:eastAsia="Times New Roman" w:hAnsi="Arial" w:cs="Arial"/>
          <w:kern w:val="0"/>
          <w:lang w:val="es-CO" w:eastAsia="es-CO"/>
        </w:rPr>
      </w:pPr>
    </w:p>
    <w:p w:rsidR="000F18AD" w:rsidRPr="00FB166D" w:rsidRDefault="00A4199F" w:rsidP="000F18AD">
      <w:pPr>
        <w:widowControl/>
        <w:suppressAutoHyphens w:val="0"/>
        <w:jc w:val="both"/>
        <w:rPr>
          <w:rFonts w:ascii="Arial" w:eastAsia="Times New Roman" w:hAnsi="Arial" w:cs="Arial"/>
          <w:kern w:val="0"/>
          <w:lang w:val="es-CO" w:eastAsia="es-CO"/>
        </w:rPr>
      </w:pPr>
      <w:r w:rsidRPr="00FB166D">
        <w:rPr>
          <w:rFonts w:ascii="Arial" w:eastAsia="Times New Roman" w:hAnsi="Arial" w:cs="Arial"/>
          <w:kern w:val="0"/>
          <w:lang w:val="es-CO" w:eastAsia="es-CO"/>
        </w:rPr>
        <w:t>El Registro Estatal de Fuentes Contaminantes (PRTR) de España,  ha determinado que e</w:t>
      </w:r>
      <w:r w:rsidR="000F18AD" w:rsidRPr="00FB166D">
        <w:rPr>
          <w:rFonts w:ascii="Arial" w:eastAsia="Times New Roman" w:hAnsi="Arial" w:cs="Arial"/>
          <w:kern w:val="0"/>
          <w:lang w:val="es-CO" w:eastAsia="es-CO"/>
        </w:rPr>
        <w:t xml:space="preserve">l plomo puede </w:t>
      </w:r>
      <w:r w:rsidRPr="00FB166D">
        <w:rPr>
          <w:rFonts w:ascii="Arial" w:eastAsia="Times New Roman" w:hAnsi="Arial" w:cs="Arial"/>
          <w:kern w:val="0"/>
          <w:lang w:val="es-CO" w:eastAsia="es-CO"/>
        </w:rPr>
        <w:t xml:space="preserve">hacer </w:t>
      </w:r>
      <w:r w:rsidR="000F18AD" w:rsidRPr="00FB166D">
        <w:rPr>
          <w:rFonts w:ascii="Arial" w:eastAsia="Times New Roman" w:hAnsi="Arial" w:cs="Arial"/>
          <w:kern w:val="0"/>
          <w:lang w:val="es-CO" w:eastAsia="es-CO"/>
        </w:rPr>
        <w:t xml:space="preserve">principalmente daño </w:t>
      </w:r>
      <w:r w:rsidRPr="00FB166D">
        <w:rPr>
          <w:rFonts w:ascii="Arial" w:eastAsia="Times New Roman" w:hAnsi="Arial" w:cs="Arial"/>
          <w:kern w:val="0"/>
          <w:lang w:val="es-CO" w:eastAsia="es-CO"/>
        </w:rPr>
        <w:t>en el cuerpo humano, una vez haya ingresado a este; y puntualiza sobre la existencia de unas horas de mayor riesgo  (</w:t>
      </w:r>
      <w:r w:rsidR="000F18AD" w:rsidRPr="00FB166D">
        <w:rPr>
          <w:rFonts w:ascii="Arial" w:eastAsia="Times New Roman" w:hAnsi="Arial" w:cs="Arial"/>
          <w:kern w:val="0"/>
          <w:lang w:val="es-CO" w:eastAsia="es-CO"/>
        </w:rPr>
        <w:t>7 y 12 de la noche las probabilidades de contraer saturnismo son mayores dado que el metabolismo se ralentiza entre estos horarios</w:t>
      </w:r>
      <w:r w:rsidRPr="00FB166D">
        <w:rPr>
          <w:rFonts w:ascii="Arial" w:eastAsia="Times New Roman" w:hAnsi="Arial" w:cs="Arial"/>
          <w:kern w:val="0"/>
          <w:lang w:val="es-CO" w:eastAsia="es-CO"/>
        </w:rPr>
        <w:t>)</w:t>
      </w:r>
      <w:r w:rsidR="000F18AD" w:rsidRPr="00FB166D">
        <w:rPr>
          <w:rFonts w:ascii="Arial" w:eastAsia="Times New Roman" w:hAnsi="Arial" w:cs="Arial"/>
          <w:kern w:val="0"/>
          <w:lang w:val="es-CO" w:eastAsia="es-CO"/>
        </w:rPr>
        <w:t>.</w:t>
      </w:r>
    </w:p>
    <w:p w:rsidR="000F18AD" w:rsidRPr="00FB166D" w:rsidRDefault="000F18AD" w:rsidP="000F18AD">
      <w:pPr>
        <w:widowControl/>
        <w:suppressAutoHyphens w:val="0"/>
        <w:jc w:val="both"/>
        <w:rPr>
          <w:rFonts w:ascii="Arial" w:eastAsia="Times New Roman" w:hAnsi="Arial" w:cs="Arial"/>
          <w:kern w:val="0"/>
          <w:lang w:val="es-CO" w:eastAsia="es-CO"/>
        </w:rPr>
      </w:pPr>
    </w:p>
    <w:p w:rsidR="000F18AD" w:rsidRPr="00FB166D" w:rsidRDefault="000F18AD" w:rsidP="000F18AD">
      <w:pPr>
        <w:widowControl/>
        <w:suppressAutoHyphens w:val="0"/>
        <w:jc w:val="both"/>
        <w:rPr>
          <w:rFonts w:ascii="Arial" w:eastAsia="Times New Roman" w:hAnsi="Arial" w:cs="Arial"/>
          <w:kern w:val="0"/>
          <w:lang w:val="es-CO" w:eastAsia="es-CO"/>
        </w:rPr>
      </w:pPr>
      <w:r w:rsidRPr="00FB166D">
        <w:rPr>
          <w:rFonts w:ascii="Arial" w:eastAsia="Times New Roman" w:hAnsi="Arial" w:cs="Arial"/>
          <w:kern w:val="0"/>
          <w:lang w:val="es-CO" w:eastAsia="es-CO"/>
        </w:rPr>
        <w:t xml:space="preserve">Otros efectos no deseados causados por </w:t>
      </w:r>
      <w:r w:rsidR="00A4199F" w:rsidRPr="00FB166D">
        <w:rPr>
          <w:rFonts w:ascii="Arial" w:eastAsia="Times New Roman" w:hAnsi="Arial" w:cs="Arial"/>
          <w:kern w:val="0"/>
          <w:lang w:val="es-CO" w:eastAsia="es-CO"/>
        </w:rPr>
        <w:t>el</w:t>
      </w:r>
      <w:r w:rsidRPr="00FB166D">
        <w:rPr>
          <w:rFonts w:ascii="Arial" w:eastAsia="Times New Roman" w:hAnsi="Arial" w:cs="Arial"/>
          <w:kern w:val="0"/>
          <w:lang w:val="es-CO" w:eastAsia="es-CO"/>
        </w:rPr>
        <w:t xml:space="preserve"> plomo, son:</w:t>
      </w:r>
    </w:p>
    <w:p w:rsidR="000F18AD" w:rsidRPr="00FB166D" w:rsidRDefault="000F18AD" w:rsidP="000F18AD">
      <w:pPr>
        <w:widowControl/>
        <w:suppressAutoHyphens w:val="0"/>
        <w:jc w:val="both"/>
        <w:rPr>
          <w:rFonts w:ascii="Arial" w:eastAsia="Times New Roman" w:hAnsi="Arial" w:cs="Arial"/>
          <w:kern w:val="0"/>
          <w:lang w:val="es-CO" w:eastAsia="es-CO"/>
        </w:rPr>
      </w:pPr>
    </w:p>
    <w:p w:rsidR="000F18AD" w:rsidRPr="00FB166D" w:rsidRDefault="000F18AD" w:rsidP="000F18AD">
      <w:pPr>
        <w:widowControl/>
        <w:suppressAutoHyphens w:val="0"/>
        <w:jc w:val="both"/>
        <w:rPr>
          <w:rFonts w:ascii="Arial" w:eastAsia="Times New Roman" w:hAnsi="Arial" w:cs="Arial"/>
          <w:kern w:val="0"/>
          <w:lang w:val="es-CO" w:eastAsia="es-CO"/>
        </w:rPr>
      </w:pPr>
      <w:r w:rsidRPr="00FB166D">
        <w:rPr>
          <w:rFonts w:ascii="Arial" w:eastAsia="Times New Roman" w:hAnsi="Arial" w:cs="Arial"/>
          <w:kern w:val="0"/>
          <w:lang w:val="es-CO" w:eastAsia="es-CO"/>
        </w:rPr>
        <w:t xml:space="preserve">Incremento de la presión sanguínea </w:t>
      </w:r>
      <w:r w:rsidR="003D6A1A" w:rsidRPr="00FB166D">
        <w:rPr>
          <w:rFonts w:ascii="Arial" w:eastAsia="Times New Roman" w:hAnsi="Arial" w:cs="Arial"/>
          <w:kern w:val="0"/>
          <w:lang w:val="es-CO" w:eastAsia="es-CO"/>
        </w:rPr>
        <w:t>o</w:t>
      </w:r>
      <w:r w:rsidRPr="00FB166D">
        <w:rPr>
          <w:rFonts w:ascii="Arial" w:eastAsia="Times New Roman" w:hAnsi="Arial" w:cs="Arial"/>
          <w:kern w:val="0"/>
          <w:lang w:val="es-CO" w:eastAsia="es-CO"/>
        </w:rPr>
        <w:t xml:space="preserve"> taquicardia</w:t>
      </w:r>
      <w:r w:rsidR="00A4199F" w:rsidRPr="00FB166D">
        <w:rPr>
          <w:rFonts w:ascii="Arial" w:eastAsia="Times New Roman" w:hAnsi="Arial" w:cs="Arial"/>
          <w:kern w:val="0"/>
          <w:lang w:val="es-CO" w:eastAsia="es-CO"/>
        </w:rPr>
        <w:t>, d</w:t>
      </w:r>
      <w:r w:rsidRPr="00FB166D">
        <w:rPr>
          <w:rFonts w:ascii="Arial" w:eastAsia="Times New Roman" w:hAnsi="Arial" w:cs="Arial"/>
          <w:kern w:val="0"/>
          <w:lang w:val="es-CO" w:eastAsia="es-CO"/>
        </w:rPr>
        <w:t>año a los riñones y en el sistema urinario</w:t>
      </w:r>
      <w:r w:rsidR="00A4199F" w:rsidRPr="00FB166D">
        <w:rPr>
          <w:rFonts w:ascii="Arial" w:eastAsia="Times New Roman" w:hAnsi="Arial" w:cs="Arial"/>
          <w:kern w:val="0"/>
          <w:lang w:val="es-CO" w:eastAsia="es-CO"/>
        </w:rPr>
        <w:t>, a</w:t>
      </w:r>
      <w:r w:rsidRPr="00FB166D">
        <w:rPr>
          <w:rFonts w:ascii="Arial" w:eastAsia="Times New Roman" w:hAnsi="Arial" w:cs="Arial"/>
          <w:kern w:val="0"/>
          <w:lang w:val="es-CO" w:eastAsia="es-CO"/>
        </w:rPr>
        <w:t xml:space="preserve">bortos y abortos sutiles </w:t>
      </w:r>
      <w:r w:rsidR="003D6A1A" w:rsidRPr="00FB166D">
        <w:rPr>
          <w:rFonts w:ascii="Arial" w:eastAsia="Times New Roman" w:hAnsi="Arial" w:cs="Arial"/>
          <w:kern w:val="0"/>
          <w:lang w:val="es-CO" w:eastAsia="es-CO"/>
        </w:rPr>
        <w:t>o</w:t>
      </w:r>
      <w:r w:rsidRPr="00FB166D">
        <w:rPr>
          <w:rFonts w:ascii="Arial" w:eastAsia="Times New Roman" w:hAnsi="Arial" w:cs="Arial"/>
          <w:kern w:val="0"/>
          <w:lang w:val="es-CO" w:eastAsia="es-CO"/>
        </w:rPr>
        <w:t xml:space="preserve"> leves</w:t>
      </w:r>
      <w:r w:rsidR="00A4199F" w:rsidRPr="00FB166D">
        <w:rPr>
          <w:rFonts w:ascii="Arial" w:eastAsia="Times New Roman" w:hAnsi="Arial" w:cs="Arial"/>
          <w:kern w:val="0"/>
          <w:lang w:val="es-CO" w:eastAsia="es-CO"/>
        </w:rPr>
        <w:t>, p</w:t>
      </w:r>
      <w:r w:rsidRPr="00FB166D">
        <w:rPr>
          <w:rFonts w:ascii="Arial" w:eastAsia="Times New Roman" w:hAnsi="Arial" w:cs="Arial"/>
          <w:kern w:val="0"/>
          <w:lang w:val="es-CO" w:eastAsia="es-CO"/>
        </w:rPr>
        <w:t>erturbación del sistema nervioso</w:t>
      </w:r>
      <w:r w:rsidR="00A4199F" w:rsidRPr="00FB166D">
        <w:rPr>
          <w:rFonts w:ascii="Arial" w:eastAsia="Times New Roman" w:hAnsi="Arial" w:cs="Arial"/>
          <w:kern w:val="0"/>
          <w:lang w:val="es-CO" w:eastAsia="es-CO"/>
        </w:rPr>
        <w:t>, d</w:t>
      </w:r>
      <w:r w:rsidRPr="00FB166D">
        <w:rPr>
          <w:rFonts w:ascii="Arial" w:eastAsia="Times New Roman" w:hAnsi="Arial" w:cs="Arial"/>
          <w:kern w:val="0"/>
          <w:lang w:val="es-CO" w:eastAsia="es-CO"/>
        </w:rPr>
        <w:t>año al cerebro</w:t>
      </w:r>
      <w:r w:rsidR="00A4199F" w:rsidRPr="00FB166D">
        <w:rPr>
          <w:rFonts w:ascii="Arial" w:eastAsia="Times New Roman" w:hAnsi="Arial" w:cs="Arial"/>
          <w:kern w:val="0"/>
          <w:lang w:val="es-CO" w:eastAsia="es-CO"/>
        </w:rPr>
        <w:t>, d</w:t>
      </w:r>
      <w:r w:rsidRPr="00FB166D">
        <w:rPr>
          <w:rFonts w:ascii="Arial" w:eastAsia="Times New Roman" w:hAnsi="Arial" w:cs="Arial"/>
          <w:kern w:val="0"/>
          <w:lang w:val="es-CO" w:eastAsia="es-CO"/>
        </w:rPr>
        <w:t>isminución de la fertilidad del hombre a través del daño en el esperma y en la capacidad de mantener una erección</w:t>
      </w:r>
      <w:r w:rsidR="00A4199F" w:rsidRPr="00FB166D">
        <w:rPr>
          <w:rFonts w:ascii="Arial" w:eastAsia="Times New Roman" w:hAnsi="Arial" w:cs="Arial"/>
          <w:kern w:val="0"/>
          <w:lang w:val="es-CO" w:eastAsia="es-CO"/>
        </w:rPr>
        <w:t>, d</w:t>
      </w:r>
      <w:r w:rsidRPr="00FB166D">
        <w:rPr>
          <w:rFonts w:ascii="Arial" w:eastAsia="Times New Roman" w:hAnsi="Arial" w:cs="Arial"/>
          <w:kern w:val="0"/>
          <w:lang w:val="es-CO" w:eastAsia="es-CO"/>
        </w:rPr>
        <w:t>isminución de las habilidades de aprendizaje de los niños</w:t>
      </w:r>
      <w:r w:rsidR="00A4199F" w:rsidRPr="00FB166D">
        <w:rPr>
          <w:rFonts w:ascii="Arial" w:eastAsia="Times New Roman" w:hAnsi="Arial" w:cs="Arial"/>
          <w:kern w:val="0"/>
          <w:lang w:val="es-CO" w:eastAsia="es-CO"/>
        </w:rPr>
        <w:t>, p</w:t>
      </w:r>
      <w:r w:rsidRPr="00FB166D">
        <w:rPr>
          <w:rFonts w:ascii="Arial" w:eastAsia="Times New Roman" w:hAnsi="Arial" w:cs="Arial"/>
          <w:kern w:val="0"/>
          <w:lang w:val="es-CO" w:eastAsia="es-CO"/>
        </w:rPr>
        <w:t xml:space="preserve">erturbación en el comportamiento de los niños, como es agresión, comportamiento impulsivo e hipersensibilidad como también euforia e </w:t>
      </w:r>
      <w:r w:rsidR="00A4199F" w:rsidRPr="00FB166D">
        <w:rPr>
          <w:rFonts w:ascii="Arial" w:eastAsia="Times New Roman" w:hAnsi="Arial" w:cs="Arial"/>
          <w:kern w:val="0"/>
          <w:lang w:val="es-CO" w:eastAsia="es-CO"/>
        </w:rPr>
        <w:t>hiperactividad</w:t>
      </w:r>
      <w:r w:rsidRPr="00FB166D">
        <w:rPr>
          <w:rFonts w:ascii="Arial" w:eastAsia="Times New Roman" w:hAnsi="Arial" w:cs="Arial"/>
          <w:kern w:val="0"/>
          <w:lang w:val="es-CO" w:eastAsia="es-CO"/>
        </w:rPr>
        <w:t>.</w:t>
      </w:r>
    </w:p>
    <w:p w:rsidR="00A4199F" w:rsidRPr="00FB166D" w:rsidRDefault="00A4199F" w:rsidP="000F18AD">
      <w:pPr>
        <w:widowControl/>
        <w:suppressAutoHyphens w:val="0"/>
        <w:jc w:val="both"/>
        <w:rPr>
          <w:rFonts w:ascii="Arial" w:eastAsia="Times New Roman" w:hAnsi="Arial" w:cs="Arial"/>
          <w:kern w:val="0"/>
          <w:lang w:val="es-CO" w:eastAsia="es-CO"/>
        </w:rPr>
      </w:pPr>
    </w:p>
    <w:p w:rsidR="00A4199F" w:rsidRPr="00FB166D" w:rsidRDefault="000F18AD" w:rsidP="000F18AD">
      <w:pPr>
        <w:widowControl/>
        <w:suppressAutoHyphens w:val="0"/>
        <w:jc w:val="both"/>
        <w:rPr>
          <w:rFonts w:ascii="Arial" w:eastAsia="Times New Roman" w:hAnsi="Arial" w:cs="Arial"/>
          <w:kern w:val="0"/>
          <w:lang w:val="es-CO" w:eastAsia="es-CO"/>
        </w:rPr>
      </w:pPr>
      <w:r w:rsidRPr="00FB166D">
        <w:rPr>
          <w:rFonts w:ascii="Arial" w:eastAsia="Times New Roman" w:hAnsi="Arial" w:cs="Arial"/>
          <w:kern w:val="0"/>
          <w:lang w:val="es-CO" w:eastAsia="es-CO"/>
        </w:rPr>
        <w:t>En niños de corta edad se pueden producir daños en la coordinación y en la comprensión de información, hasta llegar a un retardo mental muy serio.</w:t>
      </w:r>
      <w:r w:rsidR="00A4199F" w:rsidRPr="00FB166D">
        <w:rPr>
          <w:rFonts w:ascii="Arial" w:eastAsia="Times New Roman" w:hAnsi="Arial" w:cs="Arial"/>
          <w:kern w:val="0"/>
          <w:lang w:val="es-CO" w:eastAsia="es-CO"/>
        </w:rPr>
        <w:t xml:space="preserve"> </w:t>
      </w:r>
      <w:r w:rsidRPr="00FB166D">
        <w:rPr>
          <w:rFonts w:ascii="Arial" w:eastAsia="Times New Roman" w:hAnsi="Arial" w:cs="Arial"/>
          <w:kern w:val="0"/>
          <w:lang w:val="es-CO" w:eastAsia="es-CO"/>
        </w:rPr>
        <w:t>En fetos puede producir mutaciones leves y mutaciones severas</w:t>
      </w:r>
      <w:r w:rsidR="00A4199F" w:rsidRPr="00FB166D">
        <w:rPr>
          <w:rFonts w:ascii="Arial" w:eastAsia="Times New Roman" w:hAnsi="Arial" w:cs="Arial"/>
          <w:kern w:val="0"/>
          <w:lang w:val="es-CO" w:eastAsia="es-CO"/>
        </w:rPr>
        <w:t xml:space="preserve">.  </w:t>
      </w:r>
      <w:r w:rsidRPr="00FB166D">
        <w:rPr>
          <w:rFonts w:ascii="Arial" w:eastAsia="Times New Roman" w:hAnsi="Arial" w:cs="Arial"/>
          <w:kern w:val="0"/>
          <w:lang w:val="es-CO" w:eastAsia="es-CO"/>
        </w:rPr>
        <w:t xml:space="preserve">El plomo puede entrar en el feto a través de la placenta de la madre. Debido a esto puede causar serios daños al sistema nervioso, al sistema reproductor y al cerebro de los niños al </w:t>
      </w:r>
      <w:r w:rsidR="00A4199F" w:rsidRPr="00FB166D">
        <w:rPr>
          <w:rFonts w:ascii="Arial" w:eastAsia="Times New Roman" w:hAnsi="Arial" w:cs="Arial"/>
          <w:kern w:val="0"/>
          <w:lang w:val="es-CO" w:eastAsia="es-CO"/>
        </w:rPr>
        <w:t xml:space="preserve">nacer. </w:t>
      </w:r>
    </w:p>
    <w:p w:rsidR="00A4199F" w:rsidRPr="00FB166D" w:rsidRDefault="00A4199F" w:rsidP="000F18AD">
      <w:pPr>
        <w:widowControl/>
        <w:suppressAutoHyphens w:val="0"/>
        <w:jc w:val="both"/>
        <w:rPr>
          <w:rFonts w:ascii="Arial" w:eastAsia="Times New Roman" w:hAnsi="Arial" w:cs="Arial"/>
          <w:kern w:val="0"/>
          <w:lang w:val="es-CO" w:eastAsia="es-CO"/>
        </w:rPr>
      </w:pPr>
    </w:p>
    <w:p w:rsidR="000F18AD" w:rsidRPr="00FB166D" w:rsidRDefault="00A4199F" w:rsidP="000F18AD">
      <w:pPr>
        <w:widowControl/>
        <w:suppressAutoHyphens w:val="0"/>
        <w:jc w:val="both"/>
        <w:rPr>
          <w:rFonts w:ascii="Arial" w:eastAsia="Times New Roman" w:hAnsi="Arial" w:cs="Arial"/>
          <w:kern w:val="0"/>
          <w:lang w:val="es-CO" w:eastAsia="es-CO"/>
        </w:rPr>
      </w:pPr>
      <w:r w:rsidRPr="00FB166D">
        <w:rPr>
          <w:rFonts w:ascii="Arial" w:eastAsia="Times New Roman" w:hAnsi="Arial" w:cs="Arial"/>
          <w:kern w:val="0"/>
          <w:lang w:val="es-CO" w:eastAsia="es-CO"/>
        </w:rPr>
        <w:t>Con</w:t>
      </w:r>
      <w:r w:rsidR="000F18AD" w:rsidRPr="00FB166D">
        <w:rPr>
          <w:rFonts w:ascii="Arial" w:eastAsia="Times New Roman" w:hAnsi="Arial" w:cs="Arial"/>
          <w:kern w:val="0"/>
          <w:lang w:val="es-CO" w:eastAsia="es-CO"/>
        </w:rPr>
        <w:t xml:space="preserve"> respecto a su incidencia en el medio ambiente, el Plomo se encuentra de forma natural en el ambiente, pero las mayores concentraciones encontradas en el ambiente son el resultado de las actividades humanas.</w:t>
      </w:r>
    </w:p>
    <w:p w:rsidR="000F18AD" w:rsidRPr="00FB166D" w:rsidRDefault="000F18AD" w:rsidP="000F18AD">
      <w:pPr>
        <w:widowControl/>
        <w:suppressAutoHyphens w:val="0"/>
        <w:jc w:val="both"/>
        <w:rPr>
          <w:rFonts w:ascii="Arial" w:eastAsia="Times New Roman" w:hAnsi="Arial" w:cs="Arial"/>
          <w:kern w:val="0"/>
          <w:lang w:val="es-CO" w:eastAsia="es-CO"/>
        </w:rPr>
      </w:pPr>
    </w:p>
    <w:p w:rsidR="000F18AD" w:rsidRPr="00FB166D" w:rsidRDefault="000C6E73" w:rsidP="000F18AD">
      <w:pPr>
        <w:widowControl/>
        <w:suppressAutoHyphens w:val="0"/>
        <w:jc w:val="both"/>
        <w:rPr>
          <w:rFonts w:ascii="Arial" w:eastAsia="Times New Roman" w:hAnsi="Arial" w:cs="Arial"/>
          <w:kern w:val="0"/>
          <w:lang w:val="es-CO" w:eastAsia="es-CO"/>
        </w:rPr>
      </w:pPr>
      <w:r w:rsidRPr="00FB166D">
        <w:rPr>
          <w:rFonts w:ascii="Arial" w:eastAsia="Times New Roman" w:hAnsi="Arial" w:cs="Arial"/>
          <w:kern w:val="0"/>
          <w:lang w:val="es-CO" w:eastAsia="es-CO"/>
        </w:rPr>
        <w:t>En Colombia aún es frecuente la presencia de plomo como componente de los siguientes productos:</w:t>
      </w:r>
    </w:p>
    <w:p w:rsidR="000C6E73" w:rsidRPr="00FB166D" w:rsidRDefault="000C6E73" w:rsidP="000F18AD">
      <w:pPr>
        <w:widowControl/>
        <w:suppressAutoHyphens w:val="0"/>
        <w:jc w:val="both"/>
        <w:rPr>
          <w:rFonts w:ascii="Arial" w:eastAsia="Times New Roman" w:hAnsi="Arial" w:cs="Arial"/>
          <w:kern w:val="0"/>
          <w:lang w:val="es-CO" w:eastAsia="es-CO"/>
        </w:rPr>
      </w:pPr>
    </w:p>
    <w:p w:rsidR="000C6E73" w:rsidRPr="00FB166D" w:rsidRDefault="000C6E73" w:rsidP="000F18AD">
      <w:pPr>
        <w:widowControl/>
        <w:suppressAutoHyphens w:val="0"/>
        <w:jc w:val="both"/>
        <w:rPr>
          <w:rFonts w:ascii="Arial" w:eastAsia="Times New Roman" w:hAnsi="Arial" w:cs="Arial"/>
          <w:kern w:val="0"/>
          <w:lang w:val="es-CO" w:eastAsia="es-CO"/>
        </w:rPr>
      </w:pPr>
      <w:r w:rsidRPr="00FB166D">
        <w:rPr>
          <w:rFonts w:ascii="Arial" w:eastAsia="Times New Roman" w:hAnsi="Arial" w:cs="Arial"/>
          <w:kern w:val="0"/>
          <w:lang w:val="es-CO" w:eastAsia="es-CO"/>
        </w:rPr>
        <w:lastRenderedPageBreak/>
        <w:t>Pinturas, pesticidas y fertilizantes, soldaduras, vidrio plomado, bernices para cerámicas, municiones, plomos para pesca, cosméticos (sobre todo importados), baterías para carros, tintas para tipografías, componentes de reparación de radiadores, dentro de los más relevantes.</w:t>
      </w:r>
    </w:p>
    <w:p w:rsidR="00A4199F" w:rsidRPr="00FB166D" w:rsidRDefault="00A4199F" w:rsidP="000F18AD">
      <w:pPr>
        <w:widowControl/>
        <w:suppressAutoHyphens w:val="0"/>
        <w:jc w:val="both"/>
        <w:rPr>
          <w:rFonts w:ascii="Arial" w:eastAsia="Times New Roman" w:hAnsi="Arial" w:cs="Arial"/>
          <w:kern w:val="0"/>
          <w:lang w:val="es-CO" w:eastAsia="es-CO"/>
        </w:rPr>
      </w:pPr>
    </w:p>
    <w:p w:rsidR="00A4199F" w:rsidRPr="00FB166D" w:rsidRDefault="00A4199F" w:rsidP="000F18AD">
      <w:pPr>
        <w:widowControl/>
        <w:suppressAutoHyphens w:val="0"/>
        <w:jc w:val="both"/>
        <w:rPr>
          <w:rFonts w:ascii="Arial" w:eastAsia="Times New Roman" w:hAnsi="Arial" w:cs="Arial"/>
          <w:kern w:val="0"/>
          <w:lang w:val="es-CO" w:eastAsia="es-CO"/>
        </w:rPr>
      </w:pPr>
    </w:p>
    <w:p w:rsidR="000F18AD" w:rsidRDefault="000C6E73" w:rsidP="000F18AD">
      <w:pPr>
        <w:widowControl/>
        <w:suppressAutoHyphens w:val="0"/>
        <w:jc w:val="both"/>
        <w:rPr>
          <w:rFonts w:ascii="Arial" w:eastAsia="Times New Roman" w:hAnsi="Arial" w:cs="Arial"/>
          <w:kern w:val="0"/>
          <w:lang w:val="es-CO" w:eastAsia="es-CO"/>
        </w:rPr>
      </w:pPr>
      <w:r w:rsidRPr="00FB166D">
        <w:rPr>
          <w:rFonts w:ascii="Arial" w:eastAsia="Times New Roman" w:hAnsi="Arial" w:cs="Arial"/>
          <w:kern w:val="0"/>
          <w:lang w:val="es-CO" w:eastAsia="es-CO"/>
        </w:rPr>
        <w:t>Es pertinente agregar que está comprobado que el uso indiscriminado y descontrolado del plomo, puede llegar e</w:t>
      </w:r>
      <w:r w:rsidR="00296FC8" w:rsidRPr="00FB166D">
        <w:rPr>
          <w:rFonts w:ascii="Arial" w:eastAsia="Times New Roman" w:hAnsi="Arial" w:cs="Arial"/>
          <w:kern w:val="0"/>
          <w:lang w:val="es-CO" w:eastAsia="es-CO"/>
        </w:rPr>
        <w:t>n</w:t>
      </w:r>
      <w:r w:rsidRPr="00FB166D">
        <w:rPr>
          <w:rFonts w:ascii="Arial" w:eastAsia="Times New Roman" w:hAnsi="Arial" w:cs="Arial"/>
          <w:kern w:val="0"/>
          <w:lang w:val="es-CO" w:eastAsia="es-CO"/>
        </w:rPr>
        <w:t xml:space="preserve"> forma directa o indirecta a </w:t>
      </w:r>
      <w:r w:rsidR="000F18AD" w:rsidRPr="00FB166D">
        <w:rPr>
          <w:rFonts w:ascii="Arial" w:eastAsia="Times New Roman" w:hAnsi="Arial" w:cs="Arial"/>
          <w:kern w:val="0"/>
          <w:lang w:val="es-CO" w:eastAsia="es-CO"/>
        </w:rPr>
        <w:t xml:space="preserve">las aguas superficiales, </w:t>
      </w:r>
      <w:r w:rsidRPr="00FB166D">
        <w:rPr>
          <w:rFonts w:ascii="Arial" w:eastAsia="Times New Roman" w:hAnsi="Arial" w:cs="Arial"/>
          <w:kern w:val="0"/>
          <w:lang w:val="es-CO" w:eastAsia="es-CO"/>
        </w:rPr>
        <w:t xml:space="preserve">provocando </w:t>
      </w:r>
      <w:r w:rsidR="000F18AD" w:rsidRPr="00FB166D">
        <w:rPr>
          <w:rFonts w:ascii="Arial" w:eastAsia="Times New Roman" w:hAnsi="Arial" w:cs="Arial"/>
          <w:kern w:val="0"/>
          <w:lang w:val="es-CO" w:eastAsia="es-CO"/>
        </w:rPr>
        <w:t>perturbaciones en el fitoplancton, que es una fuente importante de producción de oxígeno en los océanos y de alimento para algunos organismos acuáticos.</w:t>
      </w:r>
    </w:p>
    <w:p w:rsidR="000F18AD" w:rsidRPr="001D3C29" w:rsidRDefault="000F18AD" w:rsidP="001D3C29">
      <w:pPr>
        <w:widowControl/>
        <w:suppressAutoHyphens w:val="0"/>
        <w:jc w:val="both"/>
        <w:rPr>
          <w:rFonts w:ascii="Arial" w:eastAsia="Times New Roman" w:hAnsi="Arial" w:cs="Arial"/>
          <w:kern w:val="0"/>
          <w:lang w:val="es-CO" w:eastAsia="es-CO"/>
        </w:rPr>
      </w:pPr>
    </w:p>
    <w:p w:rsidR="001D3C29" w:rsidRPr="001D3C29" w:rsidRDefault="001D3C29" w:rsidP="001D3C29">
      <w:pPr>
        <w:widowControl/>
        <w:suppressAutoHyphens w:val="0"/>
        <w:jc w:val="both"/>
        <w:rPr>
          <w:rFonts w:ascii="Arial" w:eastAsia="Times New Roman" w:hAnsi="Arial" w:cs="Arial"/>
          <w:kern w:val="0"/>
          <w:lang w:val="es-CO" w:eastAsia="es-CO"/>
        </w:rPr>
      </w:pPr>
    </w:p>
    <w:p w:rsidR="001D3C29" w:rsidRPr="001D3C29" w:rsidRDefault="001D3C29" w:rsidP="001D3C29">
      <w:pPr>
        <w:widowControl/>
        <w:suppressAutoHyphens w:val="0"/>
        <w:jc w:val="both"/>
        <w:rPr>
          <w:rFonts w:ascii="Arial" w:eastAsia="Times New Roman" w:hAnsi="Arial" w:cs="Arial"/>
          <w:kern w:val="0"/>
          <w:lang w:val="es-ES" w:eastAsia="es-ES"/>
        </w:rPr>
      </w:pPr>
      <w:r w:rsidRPr="001D3C29">
        <w:rPr>
          <w:rFonts w:ascii="Arial" w:eastAsia="Times New Roman" w:hAnsi="Arial" w:cs="Arial"/>
          <w:kern w:val="0"/>
          <w:lang w:val="es-ES" w:eastAsia="es-ES"/>
        </w:rPr>
        <w:t>En los últimos 30 años, el Centro para el Control de Enfermedades (CDC) de los Estados Unidos han modificado la cifra de los niveles máximos aceptables de Pb en sangre, pasando de los 60 μg/dL en los años sesenta, a los 30 μg/dL en 1975 y 25 g/dL en 1985. A partir de 1991, el CDC propuso, prevenir la intoxicación por plomo en niños, exigiendo un nivel inferior a 10 μg/dL (ATSDR, 2007a).</w:t>
      </w:r>
    </w:p>
    <w:p w:rsidR="001D3C29" w:rsidRPr="001D3C29" w:rsidRDefault="001D3C29" w:rsidP="001D3C29">
      <w:pPr>
        <w:widowControl/>
        <w:suppressAutoHyphens w:val="0"/>
        <w:jc w:val="both"/>
        <w:rPr>
          <w:rFonts w:ascii="Arial" w:eastAsia="Times New Roman" w:hAnsi="Arial" w:cs="Arial"/>
          <w:kern w:val="0"/>
          <w:lang w:val="es-ES" w:eastAsia="es-ES"/>
        </w:rPr>
      </w:pPr>
    </w:p>
    <w:p w:rsidR="001D3C29" w:rsidRPr="001D3C29" w:rsidRDefault="001D3C29" w:rsidP="001D3C29">
      <w:pPr>
        <w:widowControl/>
        <w:suppressAutoHyphens w:val="0"/>
        <w:jc w:val="both"/>
        <w:rPr>
          <w:rFonts w:ascii="Arial" w:eastAsia="Times New Roman" w:hAnsi="Arial" w:cs="Arial"/>
          <w:kern w:val="0"/>
          <w:lang w:val="es-ES" w:eastAsia="es-ES"/>
        </w:rPr>
      </w:pPr>
      <w:r w:rsidRPr="001D3C29">
        <w:rPr>
          <w:rFonts w:ascii="Arial" w:eastAsia="Times New Roman" w:hAnsi="Arial" w:cs="Arial"/>
          <w:kern w:val="0"/>
          <w:lang w:val="es-ES" w:eastAsia="es-ES"/>
        </w:rPr>
        <w:t>Se ha establecido que el daño en la función cognitiva empieza con niveles superiores a los 10 μg/dL, aun cuando los síntomas no sean perceptibles. Sin embargo recientes investigaciones han demostrado que niveles bajos de Pb en sangre (menos de 10 μg/dL) en niños, pueden producir desórdenes en el aprendizaje, hiperactividad, alteraciones de la inteligencia (disminución del coeficiente intelectual), cambios en la conducta, baja estatura, disminución de la audición, problemas del desarrollo neuropsicológico y a su vez, atravesar fácilmente la barrera placentaria, afectando el desarrollo neurológico del feto (Bellinger, 2008; Padilla y et al., 2000); provocar efectos perjudiciales sobre cualquier órgano como el cerebro, medula espinal, así también como en los hematíes (Meneses, 2003).</w:t>
      </w:r>
    </w:p>
    <w:p w:rsidR="001D3C29" w:rsidRPr="001D3C29" w:rsidRDefault="001D3C29" w:rsidP="001D3C29">
      <w:pPr>
        <w:widowControl/>
        <w:suppressAutoHyphens w:val="0"/>
        <w:jc w:val="both"/>
        <w:rPr>
          <w:rFonts w:ascii="Arial" w:eastAsia="Times New Roman" w:hAnsi="Arial" w:cs="Arial"/>
          <w:kern w:val="0"/>
          <w:lang w:val="es-ES" w:eastAsia="es-ES"/>
        </w:rPr>
      </w:pPr>
    </w:p>
    <w:p w:rsidR="001D3C29" w:rsidRPr="001D3C29" w:rsidRDefault="001D3C29" w:rsidP="001D3C29">
      <w:pPr>
        <w:widowControl/>
        <w:suppressAutoHyphens w:val="0"/>
        <w:spacing w:after="240"/>
        <w:jc w:val="both"/>
        <w:rPr>
          <w:rFonts w:ascii="Arial" w:eastAsia="Times New Roman" w:hAnsi="Arial" w:cs="Arial"/>
          <w:b/>
          <w:kern w:val="0"/>
          <w:lang w:val="es-ES" w:eastAsia="es-ES"/>
        </w:rPr>
      </w:pPr>
      <w:r w:rsidRPr="001D3C29">
        <w:rPr>
          <w:rFonts w:ascii="Arial" w:eastAsia="Times New Roman" w:hAnsi="Arial" w:cs="Arial"/>
          <w:b/>
          <w:kern w:val="0"/>
          <w:lang w:val="es-ES" w:eastAsia="es-ES"/>
        </w:rPr>
        <w:t>Toxicidad del plomo</w:t>
      </w:r>
    </w:p>
    <w:p w:rsidR="001D3C29" w:rsidRPr="001D3C29" w:rsidRDefault="00844246" w:rsidP="001D3C29">
      <w:pPr>
        <w:widowControl/>
        <w:suppressAutoHyphens w:val="0"/>
        <w:jc w:val="both"/>
        <w:rPr>
          <w:rFonts w:ascii="Arial" w:eastAsia="Times New Roman" w:hAnsi="Arial" w:cs="Arial"/>
          <w:kern w:val="0"/>
          <w:lang w:val="es-ES" w:eastAsia="es-ES"/>
        </w:rPr>
      </w:pPr>
      <w:r>
        <w:rPr>
          <w:rFonts w:ascii="Arial" w:eastAsia="Times New Roman" w:hAnsi="Arial" w:cs="Arial"/>
          <w:kern w:val="0"/>
          <w:lang w:val="es-ES" w:eastAsia="es-ES"/>
        </w:rPr>
        <w:t>El p</w:t>
      </w:r>
      <w:r w:rsidR="001D3C29" w:rsidRPr="001D3C29">
        <w:rPr>
          <w:rFonts w:ascii="Arial" w:eastAsia="Times New Roman" w:hAnsi="Arial" w:cs="Arial"/>
          <w:kern w:val="0"/>
          <w:lang w:val="es-ES" w:eastAsia="es-ES"/>
        </w:rPr>
        <w:t>lomo es un elemento neurotóxico. Varios estudios epidemiológicos realizados desde la década de los ochenta han puesto de manifiesto que puede afectar el desarrollo normal de las funciones cognitivas de los niños (</w:t>
      </w:r>
      <w:r w:rsidR="001D3C29" w:rsidRPr="001D3C29">
        <w:rPr>
          <w:rFonts w:ascii="Arial" w:eastAsia="Times New Roman" w:hAnsi="Arial" w:cs="Arial"/>
          <w:kern w:val="0"/>
          <w:lang w:val="es-CO" w:eastAsia="es-ES"/>
        </w:rPr>
        <w:t>IPCS, 1995)</w:t>
      </w:r>
      <w:r w:rsidR="001D3C29" w:rsidRPr="001D3C29">
        <w:rPr>
          <w:rFonts w:ascii="Arial" w:eastAsia="Times New Roman" w:hAnsi="Arial" w:cs="Arial"/>
          <w:kern w:val="0"/>
          <w:lang w:val="es-ES" w:eastAsia="es-ES"/>
        </w:rPr>
        <w:t>, disminución en el coeficiente intelectual (</w:t>
      </w:r>
      <w:r w:rsidR="001D3C29" w:rsidRPr="001D3C29">
        <w:rPr>
          <w:rFonts w:ascii="Arial" w:eastAsia="Times New Roman" w:hAnsi="Arial" w:cs="Arial"/>
          <w:kern w:val="0"/>
          <w:lang w:val="es-CO" w:eastAsia="es-ES"/>
        </w:rPr>
        <w:t>Pocock et al.</w:t>
      </w:r>
      <w:r w:rsidR="001D3C29" w:rsidRPr="001D3C29">
        <w:rPr>
          <w:rFonts w:ascii="Arial" w:eastAsia="Times New Roman" w:hAnsi="Arial" w:cs="Arial"/>
          <w:kern w:val="0"/>
          <w:lang w:val="es-ES" w:eastAsia="es-ES"/>
        </w:rPr>
        <w:t>, 1994), bajo rendimiento académico (</w:t>
      </w:r>
      <w:r w:rsidR="001D3C29" w:rsidRPr="001D3C29">
        <w:rPr>
          <w:rFonts w:ascii="Arial" w:eastAsia="Times New Roman" w:hAnsi="Arial" w:cs="Arial"/>
          <w:kern w:val="0"/>
          <w:lang w:val="es-CO" w:eastAsia="es-ES"/>
        </w:rPr>
        <w:t>Miranda et al., 2007</w:t>
      </w:r>
      <w:r w:rsidR="001D3C29" w:rsidRPr="001D3C29">
        <w:rPr>
          <w:rFonts w:ascii="Arial" w:eastAsia="Times New Roman" w:hAnsi="Arial" w:cs="Arial"/>
          <w:kern w:val="0"/>
          <w:lang w:val="es-ES" w:eastAsia="es-ES"/>
        </w:rPr>
        <w:t>), e influir en el comportamiento delictivo (</w:t>
      </w:r>
      <w:r w:rsidR="001D3C29" w:rsidRPr="001D3C29">
        <w:rPr>
          <w:rFonts w:ascii="Arial" w:eastAsia="Times New Roman" w:hAnsi="Arial" w:cs="Arial"/>
          <w:kern w:val="0"/>
          <w:lang w:val="es-CO" w:eastAsia="es-ES"/>
        </w:rPr>
        <w:t>Needleman et al., 1996</w:t>
      </w:r>
      <w:r w:rsidR="001D3C29" w:rsidRPr="001D3C29">
        <w:rPr>
          <w:rFonts w:ascii="Arial" w:eastAsia="Times New Roman" w:hAnsi="Arial" w:cs="Arial"/>
          <w:kern w:val="0"/>
          <w:lang w:val="es-ES" w:eastAsia="es-ES"/>
        </w:rPr>
        <w:t>).</w:t>
      </w:r>
    </w:p>
    <w:p w:rsidR="001D3C29" w:rsidRDefault="001D3C29" w:rsidP="001D3C29">
      <w:pPr>
        <w:widowControl/>
        <w:suppressAutoHyphens w:val="0"/>
        <w:jc w:val="both"/>
        <w:rPr>
          <w:rFonts w:ascii="Arial" w:eastAsia="Times New Roman" w:hAnsi="Arial" w:cs="Arial"/>
          <w:kern w:val="0"/>
          <w:lang w:val="es-ES" w:eastAsia="es-ES"/>
        </w:rPr>
      </w:pPr>
    </w:p>
    <w:p w:rsidR="003D6A1A" w:rsidRDefault="003D6A1A" w:rsidP="001D3C29">
      <w:pPr>
        <w:widowControl/>
        <w:suppressAutoHyphens w:val="0"/>
        <w:jc w:val="both"/>
        <w:rPr>
          <w:rFonts w:ascii="Arial" w:eastAsia="Times New Roman" w:hAnsi="Arial" w:cs="Arial"/>
          <w:kern w:val="0"/>
          <w:lang w:val="es-ES" w:eastAsia="es-ES"/>
        </w:rPr>
      </w:pPr>
    </w:p>
    <w:p w:rsidR="003D6A1A" w:rsidRDefault="003D6A1A" w:rsidP="001D3C29">
      <w:pPr>
        <w:widowControl/>
        <w:suppressAutoHyphens w:val="0"/>
        <w:jc w:val="both"/>
        <w:rPr>
          <w:rFonts w:ascii="Arial" w:eastAsia="Times New Roman" w:hAnsi="Arial" w:cs="Arial"/>
          <w:kern w:val="0"/>
          <w:lang w:val="es-ES" w:eastAsia="es-ES"/>
        </w:rPr>
      </w:pPr>
    </w:p>
    <w:p w:rsidR="003D6A1A" w:rsidRDefault="003D6A1A" w:rsidP="001D3C29">
      <w:pPr>
        <w:widowControl/>
        <w:suppressAutoHyphens w:val="0"/>
        <w:jc w:val="both"/>
        <w:rPr>
          <w:rFonts w:ascii="Arial" w:eastAsia="Times New Roman" w:hAnsi="Arial" w:cs="Arial"/>
          <w:kern w:val="0"/>
          <w:lang w:val="es-ES" w:eastAsia="es-ES"/>
        </w:rPr>
      </w:pPr>
    </w:p>
    <w:p w:rsidR="003D6A1A" w:rsidRDefault="003D6A1A" w:rsidP="001D3C29">
      <w:pPr>
        <w:widowControl/>
        <w:suppressAutoHyphens w:val="0"/>
        <w:jc w:val="both"/>
        <w:rPr>
          <w:rFonts w:ascii="Arial" w:eastAsia="Times New Roman" w:hAnsi="Arial" w:cs="Arial"/>
          <w:kern w:val="0"/>
          <w:lang w:val="es-ES" w:eastAsia="es-ES"/>
        </w:rPr>
      </w:pPr>
    </w:p>
    <w:p w:rsidR="003D6A1A" w:rsidRPr="001D3C29" w:rsidRDefault="003D6A1A" w:rsidP="001D3C29">
      <w:pPr>
        <w:widowControl/>
        <w:suppressAutoHyphens w:val="0"/>
        <w:jc w:val="both"/>
        <w:rPr>
          <w:rFonts w:ascii="Arial" w:eastAsia="Times New Roman" w:hAnsi="Arial" w:cs="Arial"/>
          <w:kern w:val="0"/>
          <w:lang w:val="es-ES" w:eastAsia="es-ES"/>
        </w:rPr>
      </w:pPr>
    </w:p>
    <w:p w:rsidR="001D3C29" w:rsidRPr="001D3C29" w:rsidRDefault="001D3C29" w:rsidP="001D3C29">
      <w:pPr>
        <w:widowControl/>
        <w:suppressAutoHyphens w:val="0"/>
        <w:jc w:val="both"/>
        <w:rPr>
          <w:rFonts w:ascii="Arial" w:eastAsia="Times New Roman" w:hAnsi="Arial" w:cs="Arial"/>
          <w:kern w:val="0"/>
          <w:lang w:val="es-ES" w:eastAsia="es-ES"/>
        </w:rPr>
      </w:pPr>
      <w:r w:rsidRPr="001D3C29">
        <w:rPr>
          <w:rFonts w:ascii="Arial" w:eastAsia="Times New Roman" w:hAnsi="Arial" w:cs="Arial"/>
          <w:kern w:val="0"/>
          <w:lang w:val="es-ES" w:eastAsia="es-ES"/>
        </w:rPr>
        <w:t>El plomo puede ser absorbido a través del tracto respiratorio, gastrointestinal o por la piel (plomo orgánico) (Vaziri, 2008). La absorción gastrointestinal varía con la edad, no obstante, los niños pequeños son los más sensibles principalmente porque su sistema nervioso está en desarrollo, presentan menor masa corporal, mayor capacidad de absorción y menor tasa de eliminación además están más propensos a intoxicarse y desarrollar lesiones internas irreversibles (Bellinger, 2008). La concentración y posibilidad de difusión del plomo hacia el organismo están determinadas por el tipo de absorción, la vía de ingreso, el tamaño de la partícula y el tipo de compuesto orgánico o inorgánico. Además, depende de factores propios del organismo tales como la edad, el estado fisiológico y la integridad de los tejidos (Sepúlveda, 2000).</w:t>
      </w:r>
    </w:p>
    <w:p w:rsidR="001D3C29" w:rsidRPr="001D3C29" w:rsidRDefault="001D3C29" w:rsidP="001D3C29">
      <w:pPr>
        <w:widowControl/>
        <w:suppressAutoHyphens w:val="0"/>
        <w:jc w:val="both"/>
        <w:rPr>
          <w:rFonts w:ascii="Arial" w:eastAsia="Times New Roman" w:hAnsi="Arial" w:cs="Arial"/>
          <w:kern w:val="0"/>
          <w:lang w:val="es-ES" w:eastAsia="es-ES"/>
        </w:rPr>
      </w:pPr>
    </w:p>
    <w:p w:rsidR="001D3C29" w:rsidRPr="001D3C29" w:rsidRDefault="001D3C29" w:rsidP="001D3C29">
      <w:pPr>
        <w:widowControl/>
        <w:suppressAutoHyphens w:val="0"/>
        <w:autoSpaceDE w:val="0"/>
        <w:autoSpaceDN w:val="0"/>
        <w:adjustRightInd w:val="0"/>
        <w:jc w:val="both"/>
        <w:rPr>
          <w:rFonts w:ascii="Arial" w:eastAsia="Times New Roman" w:hAnsi="Arial" w:cs="Arial"/>
          <w:kern w:val="0"/>
          <w:lang w:val="es-CO" w:eastAsia="es-CO"/>
        </w:rPr>
      </w:pPr>
      <w:r w:rsidRPr="001D3C29">
        <w:rPr>
          <w:rFonts w:ascii="Arial" w:eastAsia="Times New Roman" w:hAnsi="Arial" w:cs="Arial"/>
          <w:kern w:val="0"/>
          <w:lang w:val="es-CO" w:eastAsia="es-CO"/>
        </w:rPr>
        <w:t>El plomo es absorbido entre el 10 y el 15%  por ingestión, o hasta el 80% cuando es inhalado, entrando al torrente sanguíneo, donde se une principalmente a los eritrocitos (&gt;99%), luego se distribuye a los tejidos blandos como hígado, riñón, el sistema nervioso, hematopoyético, urinario, gastrointestinal, reproductivo y endocrino (Bellinger, 2004; Garza et al., 2006), para finalmente excretarse a través de los riñones (75%), la bilis, secreciones gastrointestinales, cabello, uñas y el sudor. La porción no excretada es redistribuida y almacenada en los huesos, dientes y pelo durante años, con el tiempo en los huesos puede aparecer hasta el 70 y el 95% de la carga corporal del metal (Bradberry y Vale, 2007; Holz et al., 2007; Barry, 1975).</w:t>
      </w:r>
    </w:p>
    <w:p w:rsidR="001D3C29" w:rsidRPr="001D3C29" w:rsidRDefault="001D3C29" w:rsidP="001D3C29">
      <w:pPr>
        <w:widowControl/>
        <w:suppressAutoHyphens w:val="0"/>
        <w:autoSpaceDE w:val="0"/>
        <w:autoSpaceDN w:val="0"/>
        <w:adjustRightInd w:val="0"/>
        <w:jc w:val="both"/>
        <w:rPr>
          <w:rFonts w:ascii="Arial" w:eastAsia="Times New Roman" w:hAnsi="Arial" w:cs="Arial"/>
          <w:kern w:val="0"/>
          <w:lang w:val="es-CO" w:eastAsia="es-CO"/>
        </w:rPr>
      </w:pPr>
    </w:p>
    <w:p w:rsidR="001D3C29" w:rsidRPr="001D3C29" w:rsidRDefault="001D3C29" w:rsidP="001D3C29">
      <w:pPr>
        <w:widowControl/>
        <w:suppressAutoHyphens w:val="0"/>
        <w:autoSpaceDE w:val="0"/>
        <w:autoSpaceDN w:val="0"/>
        <w:adjustRightInd w:val="0"/>
        <w:jc w:val="both"/>
        <w:rPr>
          <w:rFonts w:ascii="Arial" w:eastAsia="Times New Roman" w:hAnsi="Arial" w:cs="Arial"/>
          <w:kern w:val="0"/>
          <w:lang w:val="es-CO" w:eastAsia="es-CO"/>
        </w:rPr>
      </w:pPr>
      <w:r w:rsidRPr="001D3C29">
        <w:rPr>
          <w:rFonts w:ascii="Arial" w:eastAsia="Times New Roman" w:hAnsi="Arial" w:cs="Arial"/>
          <w:kern w:val="0"/>
          <w:lang w:val="es-CO" w:eastAsia="es-CO"/>
        </w:rPr>
        <w:t>La vida media del Pb en los tejidos blandos como el riñón, cerebro e hígado oscila entre 20 y 30 días; en los glóbulos rojos es aproximadamente 35 días y en el hueso varía de 5 a 30 años (Vega et al., 2003). El fortalecimiento de los huesos mediante un incremento en el consumo diario de calcio, podría reducir la proporción debida a la exposición de niños a este agente (Bruening et al., 1999), puesto que este contaminante en su mecanismo de toxicidad compite con el calcio.</w:t>
      </w:r>
    </w:p>
    <w:p w:rsidR="001D3C29" w:rsidRPr="001D3C29" w:rsidRDefault="001D3C29" w:rsidP="001D3C29">
      <w:pPr>
        <w:widowControl/>
        <w:suppressAutoHyphens w:val="0"/>
        <w:jc w:val="both"/>
        <w:rPr>
          <w:rFonts w:ascii="Arial" w:eastAsia="Times New Roman" w:hAnsi="Arial" w:cs="Arial"/>
          <w:kern w:val="0"/>
          <w:lang w:val="es-CO" w:eastAsia="es-ES"/>
        </w:rPr>
      </w:pPr>
    </w:p>
    <w:p w:rsidR="001D3C29" w:rsidRPr="001D3C29" w:rsidRDefault="001D3C29" w:rsidP="001D3C29">
      <w:pPr>
        <w:widowControl/>
        <w:suppressAutoHyphens w:val="0"/>
        <w:jc w:val="both"/>
        <w:rPr>
          <w:rFonts w:ascii="Arial" w:eastAsia="Times New Roman" w:hAnsi="Arial" w:cs="Arial"/>
          <w:kern w:val="0"/>
          <w:lang w:val="es-ES" w:eastAsia="es-ES"/>
        </w:rPr>
      </w:pPr>
      <w:r w:rsidRPr="001D3C29">
        <w:rPr>
          <w:rFonts w:ascii="Arial" w:eastAsia="Times New Roman" w:hAnsi="Arial" w:cs="Arial"/>
          <w:kern w:val="0"/>
          <w:lang w:val="es-ES" w:eastAsia="es-ES"/>
        </w:rPr>
        <w:t>En Colombia se desarrolló en el 2004 una investigación para determinar los niveles de Pb en sangre de niños en edad escolar (5-9 años) en Cartagena, en un intento de dar aproximaciones del estado actual en nuestra población infantil sobre la exposición a este metal pesado. Esta investigación arrojó como resultado que más del 7% de los niños de estratos bajos de esta ciudad presentan concentraciones elevadas de plomo, colocando de manifiesto una importante preocupación sobre el estado actual de exposición de nuestros  niños (Olivero-Verbel et al, 2007).</w:t>
      </w:r>
    </w:p>
    <w:p w:rsidR="001D3C29" w:rsidRPr="001D3C29" w:rsidRDefault="001D3C29" w:rsidP="001D3C29">
      <w:pPr>
        <w:widowControl/>
        <w:suppressAutoHyphens w:val="0"/>
        <w:jc w:val="both"/>
        <w:rPr>
          <w:rFonts w:ascii="Arial" w:eastAsia="Times New Roman" w:hAnsi="Arial" w:cs="Arial"/>
          <w:kern w:val="0"/>
          <w:lang w:val="es-ES" w:eastAsia="es-ES"/>
        </w:rPr>
      </w:pPr>
    </w:p>
    <w:p w:rsidR="001D3C29" w:rsidRPr="001D3C29" w:rsidRDefault="001D3C29" w:rsidP="001D3C29">
      <w:pPr>
        <w:widowControl/>
        <w:suppressAutoHyphens w:val="0"/>
        <w:spacing w:after="240"/>
        <w:jc w:val="both"/>
        <w:rPr>
          <w:rFonts w:ascii="Arial" w:eastAsia="Times New Roman" w:hAnsi="Arial" w:cs="Arial"/>
          <w:b/>
          <w:kern w:val="0"/>
          <w:lang w:val="es-ES" w:eastAsia="es-ES"/>
        </w:rPr>
      </w:pPr>
      <w:r w:rsidRPr="001D3C29">
        <w:rPr>
          <w:rFonts w:ascii="Arial" w:eastAsia="Times New Roman" w:hAnsi="Arial" w:cs="Arial"/>
          <w:b/>
          <w:kern w:val="0"/>
          <w:lang w:val="es-ES" w:eastAsia="es-ES"/>
        </w:rPr>
        <w:lastRenderedPageBreak/>
        <w:t>Regulaciones internacionales sobre los niveles de plomo presente en la sangre de niños</w:t>
      </w:r>
    </w:p>
    <w:p w:rsidR="001D3C29" w:rsidRDefault="001D3C29" w:rsidP="001D3C29">
      <w:pPr>
        <w:widowControl/>
        <w:suppressAutoHyphens w:val="0"/>
        <w:jc w:val="both"/>
        <w:rPr>
          <w:rFonts w:ascii="Arial" w:eastAsia="Times New Roman" w:hAnsi="Arial" w:cs="Arial"/>
          <w:kern w:val="0"/>
          <w:lang w:val="es-ES" w:eastAsia="es-ES"/>
        </w:rPr>
      </w:pPr>
      <w:r w:rsidRPr="001D3C29">
        <w:rPr>
          <w:rFonts w:ascii="Arial" w:eastAsia="Times New Roman" w:hAnsi="Arial" w:cs="Arial"/>
          <w:kern w:val="0"/>
          <w:lang w:val="es-ES" w:eastAsia="es-ES"/>
        </w:rPr>
        <w:t>Actualmente, los niveles elevados de plomo en sangre se ha convertido en un problema importante de salud pública, tanto en países desarrollados como aquellos en vía de desarrollo, muy a pesar del diseño de regulaciones internacionales para la eliminación de este metal en productos como la gasolina y la pintura, con lo que ha traído como consecuencia la toma de conciencia sobre esta reciente problemática (Boreland et al., 2008). Haciendo una revisión de estas normas se encontró que algunos países y organizaciones a nivel internacional recomiendan límites máximos de plomo en sangre en niños y adultos, las cuales se encuentran consignadas en las Tablas 1 y 2. Además en la Tabla 3, se muestran algunos límites máximos de exposición a este metal.</w:t>
      </w:r>
    </w:p>
    <w:p w:rsidR="00A42439" w:rsidRDefault="00A42439" w:rsidP="001D3C29">
      <w:pPr>
        <w:widowControl/>
        <w:suppressAutoHyphens w:val="0"/>
        <w:jc w:val="both"/>
        <w:rPr>
          <w:rFonts w:ascii="Arial" w:eastAsia="Times New Roman" w:hAnsi="Arial" w:cs="Arial"/>
          <w:kern w:val="0"/>
          <w:lang w:val="es-ES" w:eastAsia="es-ES"/>
        </w:rPr>
      </w:pPr>
    </w:p>
    <w:p w:rsidR="00A42439" w:rsidRPr="001D3C29" w:rsidRDefault="00A42439" w:rsidP="001D3C29">
      <w:pPr>
        <w:widowControl/>
        <w:suppressAutoHyphens w:val="0"/>
        <w:jc w:val="both"/>
        <w:rPr>
          <w:rFonts w:ascii="Arial" w:eastAsia="Times New Roman" w:hAnsi="Arial" w:cs="Arial"/>
          <w:kern w:val="0"/>
          <w:lang w:val="es-ES" w:eastAsia="es-ES"/>
        </w:rPr>
      </w:pPr>
    </w:p>
    <w:p w:rsidR="001D3C29" w:rsidRPr="001D3C29" w:rsidRDefault="001D3C29" w:rsidP="001D3C29">
      <w:pPr>
        <w:widowControl/>
        <w:suppressAutoHyphens w:val="0"/>
        <w:jc w:val="both"/>
        <w:rPr>
          <w:rFonts w:ascii="Arial" w:eastAsia="Times New Roman" w:hAnsi="Arial" w:cs="Arial"/>
          <w:kern w:val="0"/>
          <w:lang w:val="es-ES" w:eastAsia="es-ES"/>
        </w:rPr>
      </w:pPr>
    </w:p>
    <w:p w:rsidR="001D3C29" w:rsidRPr="001D3C29" w:rsidRDefault="001D3C29" w:rsidP="001D3C29">
      <w:pPr>
        <w:widowControl/>
        <w:suppressAutoHyphens w:val="0"/>
        <w:jc w:val="both"/>
        <w:rPr>
          <w:rFonts w:ascii="Arial" w:eastAsia="Times New Roman" w:hAnsi="Arial" w:cs="Arial"/>
          <w:kern w:val="0"/>
          <w:lang w:val="es-ES" w:eastAsia="es-ES"/>
        </w:rPr>
      </w:pPr>
    </w:p>
    <w:p w:rsidR="001D3C29" w:rsidRPr="001D3C29" w:rsidRDefault="001D3C29" w:rsidP="001D3C29">
      <w:pPr>
        <w:widowControl/>
        <w:suppressAutoHyphens w:val="0"/>
        <w:rPr>
          <w:rFonts w:ascii="Arial" w:eastAsia="Times New Roman" w:hAnsi="Arial" w:cs="Arial"/>
          <w:kern w:val="0"/>
          <w:lang w:val="es-ES" w:eastAsia="es-ES"/>
        </w:rPr>
        <w:sectPr w:rsidR="001D3C29" w:rsidRPr="001D3C29" w:rsidSect="001D3C29">
          <w:headerReference w:type="default" r:id="rId8"/>
          <w:footerReference w:type="default" r:id="rId9"/>
          <w:pgSz w:w="12240" w:h="15840" w:code="1"/>
          <w:pgMar w:top="1701" w:right="1701" w:bottom="1701" w:left="1701" w:header="709" w:footer="709" w:gutter="0"/>
          <w:cols w:space="708"/>
          <w:docGrid w:linePitch="360"/>
        </w:sectPr>
      </w:pPr>
    </w:p>
    <w:tbl>
      <w:tblPr>
        <w:tblW w:w="13006" w:type="dxa"/>
        <w:tblLayout w:type="fixed"/>
        <w:tblCellMar>
          <w:left w:w="70" w:type="dxa"/>
          <w:right w:w="70" w:type="dxa"/>
        </w:tblCellMar>
        <w:tblLook w:val="04A0" w:firstRow="1" w:lastRow="0" w:firstColumn="1" w:lastColumn="0" w:noHBand="0" w:noVBand="1"/>
      </w:tblPr>
      <w:tblGrid>
        <w:gridCol w:w="426"/>
        <w:gridCol w:w="1134"/>
        <w:gridCol w:w="1417"/>
        <w:gridCol w:w="992"/>
        <w:gridCol w:w="1276"/>
        <w:gridCol w:w="2693"/>
        <w:gridCol w:w="5068"/>
      </w:tblGrid>
      <w:tr w:rsidR="001D3C29" w:rsidRPr="001D3C29" w:rsidTr="00844246">
        <w:trPr>
          <w:trHeight w:val="330"/>
        </w:trPr>
        <w:tc>
          <w:tcPr>
            <w:tcW w:w="13006" w:type="dxa"/>
            <w:gridSpan w:val="7"/>
            <w:tcBorders>
              <w:top w:val="nil"/>
              <w:left w:val="nil"/>
              <w:bottom w:val="nil"/>
              <w:right w:val="nil"/>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b/>
                <w:bCs/>
                <w:kern w:val="0"/>
                <w:sz w:val="20"/>
                <w:lang w:val="es-ES" w:eastAsia="es-CO"/>
              </w:rPr>
            </w:pPr>
            <w:r w:rsidRPr="001D3C29">
              <w:rPr>
                <w:rFonts w:ascii="Arial" w:eastAsia="Times New Roman" w:hAnsi="Arial" w:cs="Arial"/>
                <w:b/>
                <w:bCs/>
                <w:kern w:val="0"/>
                <w:sz w:val="20"/>
                <w:lang w:val="es-ES" w:eastAsia="es-CO"/>
              </w:rPr>
              <w:lastRenderedPageBreak/>
              <w:t xml:space="preserve">Tabla 1. </w:t>
            </w:r>
            <w:r w:rsidRPr="001D3C29">
              <w:rPr>
                <w:rFonts w:ascii="Arial" w:eastAsia="Times New Roman" w:hAnsi="Arial" w:cs="Arial"/>
                <w:bCs/>
                <w:kern w:val="0"/>
                <w:sz w:val="20"/>
                <w:lang w:val="es-ES" w:eastAsia="es-CO"/>
              </w:rPr>
              <w:t>Niveles máximos de Plomo en sangre en Niños.</w:t>
            </w:r>
          </w:p>
        </w:tc>
      </w:tr>
      <w:tr w:rsidR="001D3C29" w:rsidRPr="001D3C29" w:rsidTr="00844246">
        <w:trPr>
          <w:trHeight w:val="300"/>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b/>
                <w:bCs/>
                <w:kern w:val="0"/>
                <w:sz w:val="20"/>
                <w:lang w:val="es-ES" w:eastAsia="es-CO"/>
              </w:rPr>
            </w:pPr>
            <w:r w:rsidRPr="001D3C29">
              <w:rPr>
                <w:rFonts w:ascii="Arial" w:eastAsia="Times New Roman" w:hAnsi="Arial" w:cs="Arial"/>
                <w:b/>
                <w:bCs/>
                <w:kern w:val="0"/>
                <w:sz w:val="20"/>
                <w:lang w:val="es-ES" w:eastAsia="es-CO"/>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b/>
                <w:bCs/>
                <w:kern w:val="0"/>
                <w:sz w:val="20"/>
                <w:lang w:val="es-ES" w:eastAsia="es-CO"/>
              </w:rPr>
            </w:pPr>
            <w:r w:rsidRPr="001D3C29">
              <w:rPr>
                <w:rFonts w:ascii="Arial" w:eastAsia="Times New Roman" w:hAnsi="Arial" w:cs="Arial"/>
                <w:b/>
                <w:bCs/>
                <w:kern w:val="0"/>
                <w:sz w:val="20"/>
                <w:lang w:val="es-ES" w:eastAsia="es-CO"/>
              </w:rPr>
              <w:t>País</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b/>
                <w:bCs/>
                <w:kern w:val="0"/>
                <w:sz w:val="20"/>
                <w:lang w:val="es-ES" w:eastAsia="es-CO"/>
              </w:rPr>
            </w:pPr>
            <w:r w:rsidRPr="001D3C29">
              <w:rPr>
                <w:rFonts w:ascii="Arial" w:eastAsia="Times New Roman" w:hAnsi="Arial" w:cs="Arial"/>
                <w:b/>
                <w:bCs/>
                <w:kern w:val="0"/>
                <w:sz w:val="20"/>
                <w:lang w:val="es-ES" w:eastAsia="es-CO"/>
              </w:rPr>
              <w:t>Nivel</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b/>
                <w:bCs/>
                <w:kern w:val="0"/>
                <w:sz w:val="20"/>
                <w:lang w:val="es-ES" w:eastAsia="es-CO"/>
              </w:rPr>
            </w:pPr>
            <w:r w:rsidRPr="001D3C29">
              <w:rPr>
                <w:rFonts w:ascii="Arial" w:eastAsia="Times New Roman" w:hAnsi="Arial" w:cs="Arial"/>
                <w:b/>
                <w:bCs/>
                <w:kern w:val="0"/>
                <w:sz w:val="20"/>
                <w:lang w:val="es-ES" w:eastAsia="es-CO"/>
              </w:rPr>
              <w:t>Matriz</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b/>
                <w:bCs/>
                <w:kern w:val="0"/>
                <w:sz w:val="20"/>
                <w:lang w:val="es-ES" w:eastAsia="es-CO"/>
              </w:rPr>
            </w:pPr>
            <w:r w:rsidRPr="001D3C29">
              <w:rPr>
                <w:rFonts w:ascii="Arial" w:eastAsia="Times New Roman" w:hAnsi="Arial" w:cs="Arial"/>
                <w:b/>
                <w:bCs/>
                <w:kern w:val="0"/>
                <w:sz w:val="20"/>
                <w:lang w:val="es-ES" w:eastAsia="es-CO"/>
              </w:rPr>
              <w:t>Agencia</w:t>
            </w:r>
          </w:p>
        </w:tc>
        <w:tc>
          <w:tcPr>
            <w:tcW w:w="2693" w:type="dxa"/>
            <w:tcBorders>
              <w:top w:val="single" w:sz="4" w:space="0" w:color="auto"/>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both"/>
              <w:rPr>
                <w:rFonts w:ascii="Arial" w:eastAsia="Times New Roman" w:hAnsi="Arial" w:cs="Arial"/>
                <w:b/>
                <w:bCs/>
                <w:kern w:val="0"/>
                <w:sz w:val="20"/>
                <w:lang w:val="es-ES" w:eastAsia="es-CO"/>
              </w:rPr>
            </w:pPr>
            <w:r w:rsidRPr="001D3C29">
              <w:rPr>
                <w:rFonts w:ascii="Arial" w:eastAsia="Times New Roman" w:hAnsi="Arial" w:cs="Arial"/>
                <w:b/>
                <w:bCs/>
                <w:kern w:val="0"/>
                <w:sz w:val="20"/>
                <w:lang w:val="es-ES" w:eastAsia="es-CO"/>
              </w:rPr>
              <w:t>Observación</w:t>
            </w:r>
          </w:p>
        </w:tc>
        <w:tc>
          <w:tcPr>
            <w:tcW w:w="5068" w:type="dxa"/>
            <w:tcBorders>
              <w:top w:val="single" w:sz="4" w:space="0" w:color="auto"/>
              <w:left w:val="nil"/>
              <w:bottom w:val="single" w:sz="4" w:space="0" w:color="auto"/>
              <w:right w:val="single" w:sz="4" w:space="0" w:color="auto"/>
            </w:tcBorders>
            <w:vAlign w:val="center"/>
          </w:tcPr>
          <w:p w:rsidR="001D3C29" w:rsidRPr="001D3C29" w:rsidRDefault="001D3C29" w:rsidP="001D3C29">
            <w:pPr>
              <w:widowControl/>
              <w:suppressAutoHyphens w:val="0"/>
              <w:rPr>
                <w:rFonts w:ascii="Arial" w:eastAsia="Times New Roman" w:hAnsi="Arial" w:cs="Arial"/>
                <w:b/>
                <w:bCs/>
                <w:kern w:val="0"/>
                <w:sz w:val="20"/>
                <w:lang w:val="es-ES" w:eastAsia="es-ES"/>
              </w:rPr>
            </w:pPr>
            <w:r w:rsidRPr="001D3C29">
              <w:rPr>
                <w:rFonts w:ascii="Arial" w:eastAsia="Times New Roman" w:hAnsi="Arial" w:cs="Arial"/>
                <w:b/>
                <w:bCs/>
                <w:kern w:val="0"/>
                <w:sz w:val="20"/>
                <w:lang w:val="es-ES" w:eastAsia="es-ES"/>
              </w:rPr>
              <w:t>Referencia</w:t>
            </w:r>
          </w:p>
        </w:tc>
      </w:tr>
      <w:tr w:rsidR="001D3C29" w:rsidRPr="001D3C29" w:rsidTr="00844246">
        <w:trPr>
          <w:trHeight w:val="1353"/>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1</w:t>
            </w:r>
          </w:p>
        </w:tc>
        <w:tc>
          <w:tcPr>
            <w:tcW w:w="1134"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Estados Unidos</w:t>
            </w:r>
          </w:p>
        </w:tc>
        <w:tc>
          <w:tcPr>
            <w:tcW w:w="1417"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&lt;10 µg/dL</w:t>
            </w:r>
          </w:p>
        </w:tc>
        <w:tc>
          <w:tcPr>
            <w:tcW w:w="992"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Sangre</w:t>
            </w:r>
          </w:p>
        </w:tc>
        <w:tc>
          <w:tcPr>
            <w:tcW w:w="1276"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CDC</w:t>
            </w:r>
          </w:p>
        </w:tc>
        <w:tc>
          <w:tcPr>
            <w:tcW w:w="269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both"/>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Nivel máximo recomendado para niños entre 0 y 14 años.</w:t>
            </w:r>
          </w:p>
        </w:tc>
        <w:tc>
          <w:tcPr>
            <w:tcW w:w="5068" w:type="dxa"/>
            <w:tcBorders>
              <w:top w:val="nil"/>
              <w:left w:val="nil"/>
              <w:bottom w:val="single" w:sz="4" w:space="0" w:color="auto"/>
              <w:right w:val="single" w:sz="4" w:space="0" w:color="auto"/>
            </w:tcBorders>
            <w:vAlign w:val="center"/>
          </w:tcPr>
          <w:p w:rsidR="001D3C29" w:rsidRPr="001D3C29" w:rsidRDefault="001D3C29" w:rsidP="001D3C29">
            <w:pPr>
              <w:widowControl/>
              <w:suppressAutoHyphens w:val="0"/>
              <w:rPr>
                <w:rFonts w:ascii="Arial" w:eastAsia="Times New Roman" w:hAnsi="Arial" w:cs="Arial"/>
                <w:kern w:val="0"/>
                <w:sz w:val="20"/>
                <w:lang w:val="es-ES" w:eastAsia="es-ES"/>
              </w:rPr>
            </w:pPr>
            <w:r w:rsidRPr="001D3C29">
              <w:rPr>
                <w:rFonts w:ascii="Arial" w:eastAsia="Times New Roman" w:hAnsi="Arial" w:cs="Arial"/>
                <w:kern w:val="0"/>
                <w:sz w:val="20"/>
                <w:lang w:val="es-ES" w:eastAsia="es-ES"/>
              </w:rPr>
              <w:t>http://www.atsdr.cdc.gov/es/csem/plomo/es_pb-normas.html http://www.apha.org/membergroups/newsletters/sectionnewsletters/epidem/fall06/3040.htm</w:t>
            </w:r>
          </w:p>
        </w:tc>
      </w:tr>
      <w:tr w:rsidR="001D3C29" w:rsidRPr="001D3C29" w:rsidTr="00844246">
        <w:trPr>
          <w:trHeight w:val="66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Chile</w:t>
            </w:r>
          </w:p>
        </w:tc>
        <w:tc>
          <w:tcPr>
            <w:tcW w:w="1417"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&lt;10 µg/dL</w:t>
            </w:r>
          </w:p>
        </w:tc>
        <w:tc>
          <w:tcPr>
            <w:tcW w:w="992"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Sangre</w:t>
            </w:r>
          </w:p>
        </w:tc>
        <w:tc>
          <w:tcPr>
            <w:tcW w:w="1276"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CDC</w:t>
            </w:r>
          </w:p>
        </w:tc>
        <w:tc>
          <w:tcPr>
            <w:tcW w:w="269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both"/>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Adoptado de la CDC para niños.</w:t>
            </w:r>
          </w:p>
        </w:tc>
        <w:tc>
          <w:tcPr>
            <w:tcW w:w="5068" w:type="dxa"/>
            <w:tcBorders>
              <w:top w:val="nil"/>
              <w:left w:val="nil"/>
              <w:bottom w:val="single" w:sz="4" w:space="0" w:color="auto"/>
              <w:right w:val="single" w:sz="4" w:space="0" w:color="auto"/>
            </w:tcBorders>
            <w:vAlign w:val="center"/>
          </w:tcPr>
          <w:p w:rsidR="001D3C29" w:rsidRPr="001D3C29" w:rsidRDefault="001D3C29" w:rsidP="001D3C29">
            <w:pPr>
              <w:widowControl/>
              <w:suppressAutoHyphens w:val="0"/>
              <w:rPr>
                <w:rFonts w:ascii="Arial" w:eastAsia="Times New Roman" w:hAnsi="Arial" w:cs="Arial"/>
                <w:kern w:val="0"/>
                <w:sz w:val="20"/>
                <w:lang w:val="es-ES" w:eastAsia="es-ES"/>
              </w:rPr>
            </w:pPr>
            <w:r w:rsidRPr="001D3C29">
              <w:rPr>
                <w:rFonts w:ascii="Arial" w:eastAsia="Times New Roman" w:hAnsi="Arial" w:cs="Arial"/>
                <w:kern w:val="0"/>
                <w:sz w:val="20"/>
                <w:lang w:val="es-ES" w:eastAsia="es-ES"/>
              </w:rPr>
              <w:t>http://www.scielo.cl/scielo.php?script=sci_arttext&amp;pid=S0034-98872000000200014</w:t>
            </w:r>
          </w:p>
        </w:tc>
      </w:tr>
      <w:tr w:rsidR="001D3C29" w:rsidRPr="001D3C29" w:rsidTr="00844246">
        <w:trPr>
          <w:trHeight w:val="747"/>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3</w:t>
            </w:r>
          </w:p>
        </w:tc>
        <w:tc>
          <w:tcPr>
            <w:tcW w:w="1134"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Puerto Rico</w:t>
            </w:r>
          </w:p>
        </w:tc>
        <w:tc>
          <w:tcPr>
            <w:tcW w:w="1417"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&lt;10 µg/dL</w:t>
            </w:r>
          </w:p>
        </w:tc>
        <w:tc>
          <w:tcPr>
            <w:tcW w:w="992"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Sangre</w:t>
            </w:r>
          </w:p>
        </w:tc>
        <w:tc>
          <w:tcPr>
            <w:tcW w:w="1276"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CDC</w:t>
            </w:r>
          </w:p>
        </w:tc>
        <w:tc>
          <w:tcPr>
            <w:tcW w:w="269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both"/>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Adoptado de la CDC para niños.</w:t>
            </w:r>
          </w:p>
        </w:tc>
        <w:tc>
          <w:tcPr>
            <w:tcW w:w="5068" w:type="dxa"/>
            <w:tcBorders>
              <w:top w:val="nil"/>
              <w:left w:val="nil"/>
              <w:bottom w:val="single" w:sz="4" w:space="0" w:color="auto"/>
              <w:right w:val="single" w:sz="4" w:space="0" w:color="auto"/>
            </w:tcBorders>
            <w:vAlign w:val="center"/>
          </w:tcPr>
          <w:p w:rsidR="001D3C29" w:rsidRPr="001D3C29" w:rsidRDefault="00AF69B1" w:rsidP="001D3C29">
            <w:pPr>
              <w:widowControl/>
              <w:suppressAutoHyphens w:val="0"/>
              <w:rPr>
                <w:rFonts w:ascii="Arial" w:eastAsia="Times New Roman" w:hAnsi="Arial" w:cs="Arial"/>
                <w:kern w:val="0"/>
                <w:sz w:val="20"/>
                <w:lang w:val="es-ES" w:eastAsia="es-ES"/>
              </w:rPr>
            </w:pPr>
            <w:hyperlink r:id="rId10" w:history="1">
              <w:r w:rsidR="001D3C29" w:rsidRPr="001D3C29">
                <w:rPr>
                  <w:rFonts w:ascii="Arial" w:eastAsia="Times New Roman" w:hAnsi="Arial" w:cs="Arial"/>
                  <w:color w:val="0000FF"/>
                  <w:kern w:val="0"/>
                  <w:sz w:val="20"/>
                  <w:u w:val="single"/>
                  <w:lang w:val="es-ES" w:eastAsia="es-ES"/>
                </w:rPr>
                <w:t>http://www.lexjuris.com/lexlex/Leyes2011/lexl2011039.htm</w:t>
              </w:r>
            </w:hyperlink>
          </w:p>
        </w:tc>
      </w:tr>
      <w:tr w:rsidR="001D3C29" w:rsidRPr="001D3C29" w:rsidTr="00844246">
        <w:trPr>
          <w:trHeight w:val="1325"/>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4</w:t>
            </w:r>
          </w:p>
        </w:tc>
        <w:tc>
          <w:tcPr>
            <w:tcW w:w="1134"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México</w:t>
            </w:r>
          </w:p>
        </w:tc>
        <w:tc>
          <w:tcPr>
            <w:tcW w:w="1417"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&lt;10 µg/dL</w:t>
            </w:r>
          </w:p>
        </w:tc>
        <w:tc>
          <w:tcPr>
            <w:tcW w:w="992"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Sangre</w:t>
            </w:r>
          </w:p>
        </w:tc>
        <w:tc>
          <w:tcPr>
            <w:tcW w:w="1276"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NOM-199-SSA1-2000, Salud ambiental.</w:t>
            </w:r>
          </w:p>
        </w:tc>
        <w:tc>
          <w:tcPr>
            <w:tcW w:w="269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both"/>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Límite máximo para Niños menores de 15 años y mujeres embarazadas. Categoría 1</w:t>
            </w:r>
          </w:p>
        </w:tc>
        <w:tc>
          <w:tcPr>
            <w:tcW w:w="5068" w:type="dxa"/>
            <w:tcBorders>
              <w:top w:val="nil"/>
              <w:left w:val="nil"/>
              <w:bottom w:val="single" w:sz="4" w:space="0" w:color="auto"/>
              <w:right w:val="single" w:sz="4" w:space="0" w:color="auto"/>
            </w:tcBorders>
            <w:vAlign w:val="center"/>
          </w:tcPr>
          <w:p w:rsidR="001D3C29" w:rsidRPr="001D3C29" w:rsidRDefault="00AF69B1" w:rsidP="001D3C29">
            <w:pPr>
              <w:widowControl/>
              <w:suppressAutoHyphens w:val="0"/>
              <w:rPr>
                <w:rFonts w:ascii="Arial" w:eastAsia="Times New Roman" w:hAnsi="Arial" w:cs="Arial"/>
                <w:kern w:val="0"/>
                <w:sz w:val="20"/>
                <w:lang w:val="es-ES" w:eastAsia="es-ES"/>
              </w:rPr>
            </w:pPr>
            <w:hyperlink r:id="rId11" w:history="1">
              <w:r w:rsidR="001D3C29" w:rsidRPr="001D3C29">
                <w:rPr>
                  <w:rFonts w:ascii="Arial" w:eastAsia="Times New Roman" w:hAnsi="Arial" w:cs="Arial"/>
                  <w:color w:val="0000FF"/>
                  <w:kern w:val="0"/>
                  <w:sz w:val="20"/>
                  <w:u w:val="single"/>
                  <w:lang w:val="es-ES" w:eastAsia="es-ES"/>
                </w:rPr>
                <w:t>http://www.salud.gob.mx/unidades/cdi/nom/199ssa10.html</w:t>
              </w:r>
            </w:hyperlink>
          </w:p>
        </w:tc>
      </w:tr>
      <w:tr w:rsidR="001D3C29" w:rsidRPr="001D3C29" w:rsidTr="00844246">
        <w:trPr>
          <w:trHeight w:val="649"/>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5</w:t>
            </w:r>
          </w:p>
        </w:tc>
        <w:tc>
          <w:tcPr>
            <w:tcW w:w="1134"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Unión Europea</w:t>
            </w:r>
          </w:p>
        </w:tc>
        <w:tc>
          <w:tcPr>
            <w:tcW w:w="1417"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5 µg/dL</w:t>
            </w:r>
          </w:p>
        </w:tc>
        <w:tc>
          <w:tcPr>
            <w:tcW w:w="992"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Sangre</w:t>
            </w:r>
          </w:p>
        </w:tc>
        <w:tc>
          <w:tcPr>
            <w:tcW w:w="1276"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UNEP</w:t>
            </w:r>
          </w:p>
        </w:tc>
        <w:tc>
          <w:tcPr>
            <w:tcW w:w="269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both"/>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Declaración de Brescia para Niños.</w:t>
            </w:r>
          </w:p>
        </w:tc>
        <w:tc>
          <w:tcPr>
            <w:tcW w:w="5068" w:type="dxa"/>
            <w:tcBorders>
              <w:top w:val="nil"/>
              <w:left w:val="nil"/>
              <w:bottom w:val="single" w:sz="4" w:space="0" w:color="auto"/>
              <w:right w:val="single" w:sz="4" w:space="0" w:color="auto"/>
            </w:tcBorders>
            <w:vAlign w:val="center"/>
          </w:tcPr>
          <w:p w:rsidR="001D3C29" w:rsidRPr="001D3C29" w:rsidRDefault="00AF69B1" w:rsidP="001D3C29">
            <w:pPr>
              <w:widowControl/>
              <w:suppressAutoHyphens w:val="0"/>
              <w:rPr>
                <w:rFonts w:ascii="Arial" w:eastAsia="Times New Roman" w:hAnsi="Arial" w:cs="Arial"/>
                <w:kern w:val="0"/>
                <w:sz w:val="20"/>
                <w:lang w:val="es-ES" w:eastAsia="es-ES"/>
              </w:rPr>
            </w:pPr>
            <w:hyperlink r:id="rId12" w:history="1">
              <w:r w:rsidR="001D3C29" w:rsidRPr="001D3C29">
                <w:rPr>
                  <w:rFonts w:ascii="Arial" w:eastAsia="Times New Roman" w:hAnsi="Arial" w:cs="Arial"/>
                  <w:color w:val="0000FF"/>
                  <w:kern w:val="0"/>
                  <w:sz w:val="20"/>
                  <w:u w:val="single"/>
                  <w:lang w:val="es-ES" w:eastAsia="es-ES"/>
                </w:rPr>
                <w:t>http://www.unep.org/transport/pcfv/pdf/brescia-declaration.pdf</w:t>
              </w:r>
            </w:hyperlink>
          </w:p>
        </w:tc>
      </w:tr>
      <w:tr w:rsidR="001D3C29" w:rsidRPr="001D3C29" w:rsidTr="00844246">
        <w:trPr>
          <w:trHeight w:val="1125"/>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6</w:t>
            </w:r>
          </w:p>
        </w:tc>
        <w:tc>
          <w:tcPr>
            <w:tcW w:w="1134"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Australia</w:t>
            </w:r>
          </w:p>
        </w:tc>
        <w:tc>
          <w:tcPr>
            <w:tcW w:w="1417"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&lt;10 µg/dL</w:t>
            </w:r>
          </w:p>
        </w:tc>
        <w:tc>
          <w:tcPr>
            <w:tcW w:w="992"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Sangre</w:t>
            </w:r>
          </w:p>
        </w:tc>
        <w:tc>
          <w:tcPr>
            <w:tcW w:w="1276"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NHMRC</w:t>
            </w:r>
          </w:p>
        </w:tc>
        <w:tc>
          <w:tcPr>
            <w:tcW w:w="269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both"/>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 xml:space="preserve">Recomendación de </w:t>
            </w:r>
            <w:r w:rsidRPr="001D3C29">
              <w:rPr>
                <w:rFonts w:ascii="Arial" w:eastAsia="Times New Roman" w:hAnsi="Arial" w:cs="Arial"/>
                <w:kern w:val="0"/>
                <w:sz w:val="20"/>
                <w:lang w:val="es-CO" w:eastAsia="es-CO"/>
              </w:rPr>
              <w:t>NationalHealth and Medical Research Council</w:t>
            </w:r>
            <w:r w:rsidRPr="001D3C29">
              <w:rPr>
                <w:rFonts w:ascii="Arial" w:eastAsia="Times New Roman" w:hAnsi="Arial" w:cs="Arial"/>
                <w:kern w:val="0"/>
                <w:sz w:val="20"/>
                <w:lang w:val="es-ES" w:eastAsia="es-CO"/>
              </w:rPr>
              <w:t>, Gobierno de Australia para Niños según CDC, ASTDR y WHO</w:t>
            </w:r>
          </w:p>
        </w:tc>
        <w:tc>
          <w:tcPr>
            <w:tcW w:w="5068" w:type="dxa"/>
            <w:tcBorders>
              <w:top w:val="nil"/>
              <w:left w:val="nil"/>
              <w:bottom w:val="single" w:sz="4" w:space="0" w:color="auto"/>
              <w:right w:val="single" w:sz="4" w:space="0" w:color="auto"/>
            </w:tcBorders>
            <w:vAlign w:val="center"/>
          </w:tcPr>
          <w:p w:rsidR="001D3C29" w:rsidRPr="001D3C29" w:rsidRDefault="001D3C29" w:rsidP="001D3C29">
            <w:pPr>
              <w:widowControl/>
              <w:suppressAutoHyphens w:val="0"/>
              <w:rPr>
                <w:rFonts w:ascii="Arial" w:eastAsia="Times New Roman" w:hAnsi="Arial" w:cs="Arial"/>
                <w:kern w:val="0"/>
                <w:sz w:val="20"/>
                <w:lang w:val="es-ES" w:eastAsia="es-ES"/>
              </w:rPr>
            </w:pPr>
            <w:r w:rsidRPr="001D3C29">
              <w:rPr>
                <w:rFonts w:ascii="Arial" w:eastAsia="Times New Roman" w:hAnsi="Arial" w:cs="Arial"/>
                <w:kern w:val="0"/>
                <w:sz w:val="20"/>
                <w:lang w:val="es-ES" w:eastAsia="es-ES"/>
              </w:rPr>
              <w:t>https://www.nhmrc.gov.au/_files_nhmrc/publications/attachments/gp2-lead-info-paper.pdf</w:t>
            </w:r>
          </w:p>
        </w:tc>
      </w:tr>
      <w:tr w:rsidR="001D3C29" w:rsidRPr="001D3C29" w:rsidTr="00844246">
        <w:trPr>
          <w:trHeight w:val="96"/>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7</w:t>
            </w:r>
          </w:p>
        </w:tc>
        <w:tc>
          <w:tcPr>
            <w:tcW w:w="1134"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Internacional</w:t>
            </w:r>
          </w:p>
        </w:tc>
        <w:tc>
          <w:tcPr>
            <w:tcW w:w="1417"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10 µg/dL</w:t>
            </w:r>
          </w:p>
        </w:tc>
        <w:tc>
          <w:tcPr>
            <w:tcW w:w="992"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Sangre</w:t>
            </w:r>
          </w:p>
        </w:tc>
        <w:tc>
          <w:tcPr>
            <w:tcW w:w="1276"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OMS/WHO</w:t>
            </w:r>
          </w:p>
        </w:tc>
        <w:tc>
          <w:tcPr>
            <w:tcW w:w="269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both"/>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Nivel mínimo con el que se observa un efecto en la salud de los niños.</w:t>
            </w:r>
          </w:p>
        </w:tc>
        <w:tc>
          <w:tcPr>
            <w:tcW w:w="5068" w:type="dxa"/>
            <w:tcBorders>
              <w:top w:val="nil"/>
              <w:left w:val="nil"/>
              <w:bottom w:val="single" w:sz="4" w:space="0" w:color="auto"/>
              <w:right w:val="single" w:sz="4" w:space="0" w:color="auto"/>
            </w:tcBorders>
            <w:vAlign w:val="center"/>
          </w:tcPr>
          <w:p w:rsidR="001D3C29" w:rsidRPr="001D3C29" w:rsidRDefault="001D3C29" w:rsidP="001D3C29">
            <w:pPr>
              <w:widowControl/>
              <w:suppressAutoHyphens w:val="0"/>
              <w:rPr>
                <w:rFonts w:ascii="Arial" w:eastAsia="Times New Roman" w:hAnsi="Arial" w:cs="Arial"/>
                <w:kern w:val="0"/>
                <w:sz w:val="20"/>
                <w:lang w:val="es-ES" w:eastAsia="es-ES"/>
              </w:rPr>
            </w:pPr>
            <w:r w:rsidRPr="001D3C29">
              <w:rPr>
                <w:rFonts w:ascii="Arial" w:eastAsia="Times New Roman" w:hAnsi="Arial" w:cs="Arial"/>
                <w:kern w:val="0"/>
                <w:sz w:val="20"/>
                <w:lang w:val="es-ES" w:eastAsia="es-ES"/>
              </w:rPr>
              <w:t>http://www.who.int/ceh/publications/leadguidance.pdf</w:t>
            </w:r>
          </w:p>
        </w:tc>
      </w:tr>
    </w:tbl>
    <w:p w:rsidR="001D3C29" w:rsidRPr="001D3C29" w:rsidRDefault="001D3C29" w:rsidP="001D3C29">
      <w:pPr>
        <w:widowControl/>
        <w:suppressAutoHyphens w:val="0"/>
        <w:rPr>
          <w:rFonts w:ascii="Arial" w:eastAsia="Times New Roman" w:hAnsi="Arial" w:cs="Arial"/>
          <w:kern w:val="0"/>
          <w:lang w:val="es-ES" w:eastAsia="es-ES"/>
        </w:rPr>
      </w:pPr>
    </w:p>
    <w:p w:rsidR="001D3C29" w:rsidRPr="001D3C29" w:rsidRDefault="001D3C29" w:rsidP="001D3C29">
      <w:pPr>
        <w:widowControl/>
        <w:suppressAutoHyphens w:val="0"/>
        <w:rPr>
          <w:rFonts w:ascii="Arial" w:eastAsia="Times New Roman" w:hAnsi="Arial" w:cs="Arial"/>
          <w:kern w:val="0"/>
          <w:lang w:val="es-ES" w:eastAsia="es-ES"/>
        </w:rPr>
      </w:pPr>
      <w:r w:rsidRPr="001D3C29">
        <w:rPr>
          <w:rFonts w:ascii="Arial" w:eastAsia="Times New Roman" w:hAnsi="Arial" w:cs="Arial"/>
          <w:kern w:val="0"/>
          <w:lang w:val="es-ES" w:eastAsia="es-ES"/>
        </w:rPr>
        <w:br w:type="page"/>
      </w:r>
    </w:p>
    <w:tbl>
      <w:tblPr>
        <w:tblW w:w="13006" w:type="dxa"/>
        <w:tblLayout w:type="fixed"/>
        <w:tblCellMar>
          <w:left w:w="70" w:type="dxa"/>
          <w:right w:w="70" w:type="dxa"/>
        </w:tblCellMar>
        <w:tblLook w:val="04A0" w:firstRow="1" w:lastRow="0" w:firstColumn="1" w:lastColumn="0" w:noHBand="0" w:noVBand="1"/>
      </w:tblPr>
      <w:tblGrid>
        <w:gridCol w:w="426"/>
        <w:gridCol w:w="1134"/>
        <w:gridCol w:w="1417"/>
        <w:gridCol w:w="992"/>
        <w:gridCol w:w="1276"/>
        <w:gridCol w:w="2693"/>
        <w:gridCol w:w="5068"/>
      </w:tblGrid>
      <w:tr w:rsidR="001D3C29" w:rsidRPr="001D3C29" w:rsidTr="00844246">
        <w:trPr>
          <w:trHeight w:val="106"/>
        </w:trPr>
        <w:tc>
          <w:tcPr>
            <w:tcW w:w="13001" w:type="dxa"/>
            <w:gridSpan w:val="7"/>
            <w:tcBorders>
              <w:top w:val="nil"/>
              <w:left w:val="nil"/>
              <w:bottom w:val="nil"/>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b/>
                <w:bCs/>
                <w:kern w:val="0"/>
                <w:sz w:val="20"/>
                <w:szCs w:val="20"/>
                <w:lang w:val="es-ES" w:eastAsia="es-CO"/>
              </w:rPr>
            </w:pPr>
            <w:r w:rsidRPr="001D3C29">
              <w:rPr>
                <w:rFonts w:ascii="Arial" w:eastAsia="Times New Roman" w:hAnsi="Arial" w:cs="Arial"/>
                <w:b/>
                <w:bCs/>
                <w:kern w:val="0"/>
                <w:sz w:val="20"/>
                <w:szCs w:val="20"/>
                <w:lang w:val="es-ES" w:eastAsia="es-CO"/>
              </w:rPr>
              <w:lastRenderedPageBreak/>
              <w:t xml:space="preserve">Tabla 2. </w:t>
            </w:r>
            <w:r w:rsidRPr="001D3C29">
              <w:rPr>
                <w:rFonts w:ascii="Arial" w:eastAsia="Times New Roman" w:hAnsi="Arial" w:cs="Arial"/>
                <w:bCs/>
                <w:kern w:val="0"/>
                <w:sz w:val="20"/>
                <w:szCs w:val="20"/>
                <w:lang w:val="es-ES" w:eastAsia="es-CO"/>
              </w:rPr>
              <w:t>Niveles máximos de Plomo en sangre en Adultos.</w:t>
            </w:r>
          </w:p>
        </w:tc>
      </w:tr>
      <w:tr w:rsidR="001D3C29" w:rsidRPr="001D3C29" w:rsidTr="00844246">
        <w:trPr>
          <w:trHeight w:val="300"/>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b/>
                <w:bCs/>
                <w:kern w:val="0"/>
                <w:sz w:val="20"/>
                <w:lang w:val="es-ES" w:eastAsia="es-CO"/>
              </w:rPr>
            </w:pPr>
            <w:r w:rsidRPr="001D3C29">
              <w:rPr>
                <w:rFonts w:ascii="Arial" w:eastAsia="Times New Roman" w:hAnsi="Arial" w:cs="Arial"/>
                <w:b/>
                <w:bCs/>
                <w:kern w:val="0"/>
                <w:sz w:val="20"/>
                <w:lang w:val="es-ES" w:eastAsia="es-CO"/>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b/>
                <w:bCs/>
                <w:kern w:val="0"/>
                <w:sz w:val="20"/>
                <w:lang w:val="es-ES" w:eastAsia="es-CO"/>
              </w:rPr>
            </w:pPr>
            <w:r w:rsidRPr="001D3C29">
              <w:rPr>
                <w:rFonts w:ascii="Arial" w:eastAsia="Times New Roman" w:hAnsi="Arial" w:cs="Arial"/>
                <w:b/>
                <w:bCs/>
                <w:kern w:val="0"/>
                <w:sz w:val="20"/>
                <w:lang w:val="es-ES" w:eastAsia="es-CO"/>
              </w:rPr>
              <w:t>País</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b/>
                <w:bCs/>
                <w:kern w:val="0"/>
                <w:sz w:val="20"/>
                <w:lang w:val="es-ES" w:eastAsia="es-CO"/>
              </w:rPr>
            </w:pPr>
            <w:r w:rsidRPr="001D3C29">
              <w:rPr>
                <w:rFonts w:ascii="Arial" w:eastAsia="Times New Roman" w:hAnsi="Arial" w:cs="Arial"/>
                <w:b/>
                <w:bCs/>
                <w:kern w:val="0"/>
                <w:sz w:val="20"/>
                <w:lang w:val="es-ES" w:eastAsia="es-CO"/>
              </w:rPr>
              <w:t>Nivel</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b/>
                <w:bCs/>
                <w:kern w:val="0"/>
                <w:sz w:val="20"/>
                <w:lang w:val="es-ES" w:eastAsia="es-CO"/>
              </w:rPr>
            </w:pPr>
            <w:r w:rsidRPr="001D3C29">
              <w:rPr>
                <w:rFonts w:ascii="Arial" w:eastAsia="Times New Roman" w:hAnsi="Arial" w:cs="Arial"/>
                <w:b/>
                <w:bCs/>
                <w:kern w:val="0"/>
                <w:sz w:val="20"/>
                <w:lang w:val="es-ES" w:eastAsia="es-CO"/>
              </w:rPr>
              <w:t>Matriz</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b/>
                <w:bCs/>
                <w:kern w:val="0"/>
                <w:sz w:val="20"/>
                <w:lang w:val="es-ES" w:eastAsia="es-CO"/>
              </w:rPr>
            </w:pPr>
            <w:r w:rsidRPr="001D3C29">
              <w:rPr>
                <w:rFonts w:ascii="Arial" w:eastAsia="Times New Roman" w:hAnsi="Arial" w:cs="Arial"/>
                <w:b/>
                <w:bCs/>
                <w:kern w:val="0"/>
                <w:sz w:val="20"/>
                <w:lang w:val="es-ES" w:eastAsia="es-CO"/>
              </w:rPr>
              <w:t>Agencia</w:t>
            </w:r>
          </w:p>
        </w:tc>
        <w:tc>
          <w:tcPr>
            <w:tcW w:w="2693" w:type="dxa"/>
            <w:tcBorders>
              <w:top w:val="single" w:sz="4" w:space="0" w:color="auto"/>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both"/>
              <w:rPr>
                <w:rFonts w:ascii="Arial" w:eastAsia="Times New Roman" w:hAnsi="Arial" w:cs="Arial"/>
                <w:b/>
                <w:bCs/>
                <w:kern w:val="0"/>
                <w:sz w:val="20"/>
                <w:lang w:val="es-ES" w:eastAsia="es-CO"/>
              </w:rPr>
            </w:pPr>
            <w:r w:rsidRPr="001D3C29">
              <w:rPr>
                <w:rFonts w:ascii="Arial" w:eastAsia="Times New Roman" w:hAnsi="Arial" w:cs="Arial"/>
                <w:b/>
                <w:bCs/>
                <w:kern w:val="0"/>
                <w:sz w:val="20"/>
                <w:lang w:val="es-ES" w:eastAsia="es-CO"/>
              </w:rPr>
              <w:t>Observación</w:t>
            </w:r>
          </w:p>
        </w:tc>
        <w:tc>
          <w:tcPr>
            <w:tcW w:w="5068" w:type="dxa"/>
            <w:tcBorders>
              <w:top w:val="single" w:sz="4" w:space="0" w:color="auto"/>
              <w:left w:val="nil"/>
              <w:bottom w:val="single" w:sz="4" w:space="0" w:color="auto"/>
              <w:right w:val="single" w:sz="4" w:space="0" w:color="auto"/>
            </w:tcBorders>
            <w:vAlign w:val="center"/>
          </w:tcPr>
          <w:p w:rsidR="001D3C29" w:rsidRPr="001D3C29" w:rsidRDefault="001D3C29" w:rsidP="001D3C29">
            <w:pPr>
              <w:widowControl/>
              <w:suppressAutoHyphens w:val="0"/>
              <w:rPr>
                <w:rFonts w:ascii="Arial" w:eastAsia="Times New Roman" w:hAnsi="Arial" w:cs="Arial"/>
                <w:b/>
                <w:bCs/>
                <w:kern w:val="0"/>
                <w:sz w:val="20"/>
                <w:lang w:val="es-ES" w:eastAsia="es-ES"/>
              </w:rPr>
            </w:pPr>
            <w:r w:rsidRPr="001D3C29">
              <w:rPr>
                <w:rFonts w:ascii="Arial" w:eastAsia="Times New Roman" w:hAnsi="Arial" w:cs="Arial"/>
                <w:b/>
                <w:bCs/>
                <w:kern w:val="0"/>
                <w:sz w:val="20"/>
                <w:lang w:val="es-ES" w:eastAsia="es-ES"/>
              </w:rPr>
              <w:t>Referencia</w:t>
            </w:r>
          </w:p>
        </w:tc>
      </w:tr>
      <w:tr w:rsidR="001D3C29" w:rsidRPr="001D3C29" w:rsidTr="00844246">
        <w:trPr>
          <w:trHeight w:val="1019"/>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8</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Unión Europea</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300 µg/L</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Sangre</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UNEP</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both"/>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Declaración de Brescia para trabajadores.</w:t>
            </w:r>
          </w:p>
        </w:tc>
        <w:tc>
          <w:tcPr>
            <w:tcW w:w="5063" w:type="dxa"/>
            <w:tcBorders>
              <w:top w:val="single" w:sz="4" w:space="0" w:color="auto"/>
              <w:left w:val="nil"/>
              <w:bottom w:val="single" w:sz="4" w:space="0" w:color="auto"/>
              <w:right w:val="single" w:sz="4" w:space="0" w:color="auto"/>
            </w:tcBorders>
            <w:shd w:val="clear" w:color="auto" w:fill="auto"/>
            <w:vAlign w:val="center"/>
            <w:hideMark/>
          </w:tcPr>
          <w:p w:rsidR="001D3C29" w:rsidRPr="001D3C29" w:rsidRDefault="00AF69B1" w:rsidP="001D3C29">
            <w:pPr>
              <w:widowControl/>
              <w:suppressAutoHyphens w:val="0"/>
              <w:rPr>
                <w:rFonts w:ascii="Arial" w:eastAsia="Times New Roman" w:hAnsi="Arial" w:cs="Arial"/>
                <w:kern w:val="0"/>
                <w:sz w:val="20"/>
                <w:szCs w:val="20"/>
                <w:lang w:val="es-ES" w:eastAsia="es-CO"/>
              </w:rPr>
            </w:pPr>
            <w:hyperlink r:id="rId13" w:history="1">
              <w:r w:rsidR="001D3C29" w:rsidRPr="001D3C29">
                <w:rPr>
                  <w:rFonts w:ascii="Arial" w:eastAsia="Times New Roman" w:hAnsi="Arial" w:cs="Arial"/>
                  <w:color w:val="0000FF"/>
                  <w:kern w:val="0"/>
                  <w:sz w:val="20"/>
                  <w:szCs w:val="20"/>
                  <w:u w:val="single"/>
                  <w:lang w:val="es-ES" w:eastAsia="es-CO"/>
                </w:rPr>
                <w:t>http://www.unep.org/transport/pcfv/pdf/brescia-declaration.pdf</w:t>
              </w:r>
            </w:hyperlink>
          </w:p>
        </w:tc>
      </w:tr>
      <w:tr w:rsidR="001D3C29" w:rsidRPr="001D3C29" w:rsidTr="00844246">
        <w:trPr>
          <w:trHeight w:val="1092"/>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9</w:t>
            </w:r>
          </w:p>
        </w:tc>
        <w:tc>
          <w:tcPr>
            <w:tcW w:w="1134"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Estados Unidos</w:t>
            </w:r>
          </w:p>
        </w:tc>
        <w:tc>
          <w:tcPr>
            <w:tcW w:w="1417"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40 µg/dL</w:t>
            </w:r>
          </w:p>
        </w:tc>
        <w:tc>
          <w:tcPr>
            <w:tcW w:w="992"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Sangre</w:t>
            </w:r>
          </w:p>
        </w:tc>
        <w:tc>
          <w:tcPr>
            <w:tcW w:w="1276"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OSHA</w:t>
            </w:r>
          </w:p>
        </w:tc>
        <w:tc>
          <w:tcPr>
            <w:tcW w:w="269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both"/>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Regulación; causa para notificación escrita y examen médico para salud ocupacional.</w:t>
            </w:r>
          </w:p>
        </w:tc>
        <w:tc>
          <w:tcPr>
            <w:tcW w:w="5063" w:type="dxa"/>
            <w:vMerge w:val="restart"/>
            <w:tcBorders>
              <w:top w:val="nil"/>
              <w:left w:val="single" w:sz="4" w:space="0" w:color="auto"/>
              <w:bottom w:val="single" w:sz="4" w:space="0" w:color="auto"/>
              <w:right w:val="single" w:sz="4" w:space="0" w:color="auto"/>
            </w:tcBorders>
            <w:shd w:val="clear" w:color="auto" w:fill="auto"/>
            <w:vAlign w:val="center"/>
            <w:hideMark/>
          </w:tcPr>
          <w:p w:rsidR="001D3C29" w:rsidRPr="001D3C29" w:rsidRDefault="00AF69B1" w:rsidP="001D3C29">
            <w:pPr>
              <w:widowControl/>
              <w:suppressAutoHyphens w:val="0"/>
              <w:rPr>
                <w:rFonts w:ascii="Arial" w:eastAsia="Times New Roman" w:hAnsi="Arial" w:cs="Arial"/>
                <w:kern w:val="0"/>
                <w:sz w:val="20"/>
                <w:szCs w:val="20"/>
                <w:lang w:val="es-ES" w:eastAsia="es-CO"/>
              </w:rPr>
            </w:pPr>
            <w:hyperlink r:id="rId14" w:history="1">
              <w:r w:rsidR="001D3C29" w:rsidRPr="001D3C29">
                <w:rPr>
                  <w:rFonts w:ascii="Arial" w:eastAsia="Times New Roman" w:hAnsi="Arial" w:cs="Arial"/>
                  <w:kern w:val="0"/>
                  <w:sz w:val="20"/>
                  <w:szCs w:val="20"/>
                  <w:lang w:val="es-ES" w:eastAsia="es-CO"/>
                </w:rPr>
                <w:t>http://www.atsdr.cdc.gov/es/csem/plomo/es_pb-normas.html   https://www.osha.gov/pls/oshaweb/owadisp.show_document?p_table=STANDARDS&amp;p_id=10641   https://www.osha.gov/Publications/OSHA3736.pdfhttps://www.osha.gov/pls/oshaweb/owadisp.show_document?p_table=standards&amp;p_id=10030</w:t>
              </w:r>
            </w:hyperlink>
          </w:p>
        </w:tc>
      </w:tr>
      <w:tr w:rsidR="001D3C29" w:rsidRPr="001D3C29" w:rsidTr="00844246">
        <w:trPr>
          <w:trHeight w:val="1092"/>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10</w:t>
            </w:r>
          </w:p>
        </w:tc>
        <w:tc>
          <w:tcPr>
            <w:tcW w:w="1134"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Estados Unidos</w:t>
            </w:r>
          </w:p>
        </w:tc>
        <w:tc>
          <w:tcPr>
            <w:tcW w:w="1417"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60 µg/dL</w:t>
            </w:r>
          </w:p>
        </w:tc>
        <w:tc>
          <w:tcPr>
            <w:tcW w:w="992"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Sangre</w:t>
            </w:r>
          </w:p>
        </w:tc>
        <w:tc>
          <w:tcPr>
            <w:tcW w:w="1276"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OSHA</w:t>
            </w:r>
          </w:p>
        </w:tc>
        <w:tc>
          <w:tcPr>
            <w:tcW w:w="269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both"/>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Regulación; causa para la remoción de la fuente de exposición por razones médicas en el puesto de trabajo.</w:t>
            </w:r>
          </w:p>
        </w:tc>
        <w:tc>
          <w:tcPr>
            <w:tcW w:w="5063" w:type="dxa"/>
            <w:vMerge/>
            <w:tcBorders>
              <w:top w:val="nil"/>
              <w:left w:val="single" w:sz="4" w:space="0" w:color="auto"/>
              <w:bottom w:val="single" w:sz="4" w:space="0" w:color="auto"/>
              <w:right w:val="single" w:sz="4" w:space="0" w:color="auto"/>
            </w:tcBorders>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p>
        </w:tc>
      </w:tr>
      <w:tr w:rsidR="001D3C29" w:rsidRPr="001D3C29" w:rsidTr="00844246">
        <w:trPr>
          <w:trHeight w:val="728"/>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11</w:t>
            </w:r>
          </w:p>
        </w:tc>
        <w:tc>
          <w:tcPr>
            <w:tcW w:w="1134"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Estados Unidos</w:t>
            </w:r>
          </w:p>
        </w:tc>
        <w:tc>
          <w:tcPr>
            <w:tcW w:w="1417"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30 µg/dL</w:t>
            </w:r>
          </w:p>
        </w:tc>
        <w:tc>
          <w:tcPr>
            <w:tcW w:w="992"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Sangre</w:t>
            </w:r>
          </w:p>
        </w:tc>
        <w:tc>
          <w:tcPr>
            <w:tcW w:w="1276"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ACGIH</w:t>
            </w:r>
          </w:p>
        </w:tc>
        <w:tc>
          <w:tcPr>
            <w:tcW w:w="269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both"/>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Asesoría; indica la exposición en el Valor Umbral Límite (TLV)</w:t>
            </w:r>
          </w:p>
        </w:tc>
        <w:tc>
          <w:tcPr>
            <w:tcW w:w="5063" w:type="dxa"/>
            <w:tcBorders>
              <w:top w:val="nil"/>
              <w:left w:val="nil"/>
              <w:bottom w:val="single" w:sz="4" w:space="0" w:color="auto"/>
              <w:right w:val="single" w:sz="4" w:space="0" w:color="auto"/>
            </w:tcBorders>
            <w:shd w:val="clear" w:color="auto" w:fill="auto"/>
            <w:vAlign w:val="center"/>
            <w:hideMark/>
          </w:tcPr>
          <w:p w:rsidR="001D3C29" w:rsidRPr="001D3C29" w:rsidRDefault="00AF69B1" w:rsidP="001D3C29">
            <w:pPr>
              <w:widowControl/>
              <w:suppressAutoHyphens w:val="0"/>
              <w:rPr>
                <w:rFonts w:ascii="Arial" w:eastAsia="Times New Roman" w:hAnsi="Arial" w:cs="Arial"/>
                <w:kern w:val="0"/>
                <w:sz w:val="20"/>
                <w:szCs w:val="20"/>
                <w:lang w:val="es-ES" w:eastAsia="es-CO"/>
              </w:rPr>
            </w:pPr>
            <w:hyperlink r:id="rId15" w:history="1">
              <w:r w:rsidR="001D3C29" w:rsidRPr="001D3C29">
                <w:rPr>
                  <w:rFonts w:ascii="Arial" w:eastAsia="Times New Roman" w:hAnsi="Arial" w:cs="Arial"/>
                  <w:color w:val="0000FF"/>
                  <w:kern w:val="0"/>
                  <w:sz w:val="20"/>
                  <w:szCs w:val="20"/>
                  <w:u w:val="single"/>
                  <w:lang w:val="es-ES" w:eastAsia="es-CO"/>
                </w:rPr>
                <w:t>http://www.atsdr.cdc.gov/es/csem/plomo/es_pb-normas.html</w:t>
              </w:r>
            </w:hyperlink>
          </w:p>
        </w:tc>
      </w:tr>
      <w:tr w:rsidR="001D3C29" w:rsidRPr="001D3C29" w:rsidTr="00844246">
        <w:trPr>
          <w:trHeight w:val="1583"/>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12</w:t>
            </w:r>
          </w:p>
        </w:tc>
        <w:tc>
          <w:tcPr>
            <w:tcW w:w="1134"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México</w:t>
            </w:r>
          </w:p>
        </w:tc>
        <w:tc>
          <w:tcPr>
            <w:tcW w:w="1417"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10-14 µg/dL</w:t>
            </w:r>
          </w:p>
        </w:tc>
        <w:tc>
          <w:tcPr>
            <w:tcW w:w="992"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Sangre</w:t>
            </w:r>
          </w:p>
        </w:tc>
        <w:tc>
          <w:tcPr>
            <w:tcW w:w="1276" w:type="dxa"/>
            <w:tcBorders>
              <w:top w:val="nil"/>
              <w:left w:val="single" w:sz="4" w:space="0" w:color="auto"/>
              <w:bottom w:val="single" w:sz="4" w:space="0" w:color="000000"/>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NOM-199-SSA1-2000, Salud ambiental.</w:t>
            </w:r>
          </w:p>
        </w:tc>
        <w:tc>
          <w:tcPr>
            <w:tcW w:w="269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both"/>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Acción: Repetir la prueba cada 3 meses, notificar a la autoridad sanitaria y a la familia, promover buenos hábitos y hacer seguimiento. Categoría 2</w:t>
            </w:r>
          </w:p>
        </w:tc>
        <w:tc>
          <w:tcPr>
            <w:tcW w:w="5063" w:type="dxa"/>
            <w:tcBorders>
              <w:top w:val="nil"/>
              <w:left w:val="nil"/>
              <w:bottom w:val="single" w:sz="4" w:space="0" w:color="auto"/>
              <w:right w:val="single" w:sz="4" w:space="0" w:color="auto"/>
            </w:tcBorders>
            <w:shd w:val="clear" w:color="auto" w:fill="auto"/>
            <w:vAlign w:val="center"/>
            <w:hideMark/>
          </w:tcPr>
          <w:p w:rsidR="001D3C29" w:rsidRPr="001D3C29" w:rsidRDefault="00AF69B1" w:rsidP="001D3C29">
            <w:pPr>
              <w:widowControl/>
              <w:suppressAutoHyphens w:val="0"/>
              <w:rPr>
                <w:rFonts w:ascii="Arial" w:eastAsia="Times New Roman" w:hAnsi="Arial" w:cs="Arial"/>
                <w:kern w:val="0"/>
                <w:sz w:val="20"/>
                <w:szCs w:val="20"/>
                <w:lang w:val="es-ES" w:eastAsia="es-CO"/>
              </w:rPr>
            </w:pPr>
            <w:hyperlink r:id="rId16" w:history="1">
              <w:r w:rsidR="001D3C29" w:rsidRPr="001D3C29">
                <w:rPr>
                  <w:rFonts w:ascii="Arial" w:eastAsia="Times New Roman" w:hAnsi="Arial" w:cs="Arial"/>
                  <w:color w:val="0000FF"/>
                  <w:kern w:val="0"/>
                  <w:sz w:val="20"/>
                  <w:szCs w:val="20"/>
                  <w:u w:val="single"/>
                  <w:lang w:val="es-ES" w:eastAsia="es-CO"/>
                </w:rPr>
                <w:t>http://www.salud.gob.mx/unidades/cdi/nom/199ssa10.html</w:t>
              </w:r>
            </w:hyperlink>
          </w:p>
        </w:tc>
      </w:tr>
      <w:tr w:rsidR="001D3C29" w:rsidRPr="001D3C29" w:rsidTr="00844246">
        <w:trPr>
          <w:trHeight w:val="728"/>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13</w:t>
            </w:r>
          </w:p>
        </w:tc>
        <w:tc>
          <w:tcPr>
            <w:tcW w:w="1134"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México</w:t>
            </w:r>
          </w:p>
        </w:tc>
        <w:tc>
          <w:tcPr>
            <w:tcW w:w="1417"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&gt;15 µg/dL</w:t>
            </w:r>
          </w:p>
        </w:tc>
        <w:tc>
          <w:tcPr>
            <w:tcW w:w="992"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Sangre</w:t>
            </w:r>
          </w:p>
        </w:tc>
        <w:tc>
          <w:tcPr>
            <w:tcW w:w="1276" w:type="dxa"/>
            <w:tcBorders>
              <w:top w:val="nil"/>
              <w:left w:val="single" w:sz="4" w:space="0" w:color="auto"/>
              <w:bottom w:val="single" w:sz="4" w:space="0" w:color="000000"/>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NOM-199-SSA1-2000, Salud ambiental.</w:t>
            </w:r>
          </w:p>
        </w:tc>
        <w:tc>
          <w:tcPr>
            <w:tcW w:w="269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both"/>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Toma de medidas correctivas según la norma. Categoría 3-6</w:t>
            </w:r>
          </w:p>
        </w:tc>
        <w:tc>
          <w:tcPr>
            <w:tcW w:w="5063" w:type="dxa"/>
            <w:tcBorders>
              <w:top w:val="nil"/>
              <w:left w:val="nil"/>
              <w:bottom w:val="single" w:sz="4" w:space="0" w:color="auto"/>
              <w:right w:val="single" w:sz="4" w:space="0" w:color="auto"/>
            </w:tcBorders>
            <w:shd w:val="clear" w:color="auto" w:fill="auto"/>
            <w:vAlign w:val="center"/>
            <w:hideMark/>
          </w:tcPr>
          <w:p w:rsidR="001D3C29" w:rsidRPr="001D3C29" w:rsidRDefault="00AF69B1" w:rsidP="001D3C29">
            <w:pPr>
              <w:widowControl/>
              <w:suppressAutoHyphens w:val="0"/>
              <w:rPr>
                <w:rFonts w:ascii="Arial" w:eastAsia="Times New Roman" w:hAnsi="Arial" w:cs="Arial"/>
                <w:kern w:val="0"/>
                <w:sz w:val="20"/>
                <w:szCs w:val="20"/>
                <w:lang w:val="es-ES" w:eastAsia="es-CO"/>
              </w:rPr>
            </w:pPr>
            <w:hyperlink r:id="rId17" w:history="1">
              <w:r w:rsidR="001D3C29" w:rsidRPr="001D3C29">
                <w:rPr>
                  <w:rFonts w:ascii="Arial" w:eastAsia="Times New Roman" w:hAnsi="Arial" w:cs="Arial"/>
                  <w:color w:val="0000FF"/>
                  <w:kern w:val="0"/>
                  <w:sz w:val="20"/>
                  <w:szCs w:val="20"/>
                  <w:u w:val="single"/>
                  <w:lang w:val="es-ES" w:eastAsia="es-CO"/>
                </w:rPr>
                <w:t>http://www.salud.gob.mx/unidades/cdi/nom/199ssa10.html</w:t>
              </w:r>
            </w:hyperlink>
          </w:p>
        </w:tc>
      </w:tr>
      <w:tr w:rsidR="001D3C29" w:rsidRPr="001D3C29" w:rsidTr="00844246">
        <w:trPr>
          <w:trHeight w:val="1219"/>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14</w:t>
            </w:r>
          </w:p>
        </w:tc>
        <w:tc>
          <w:tcPr>
            <w:tcW w:w="1134"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México</w:t>
            </w:r>
          </w:p>
        </w:tc>
        <w:tc>
          <w:tcPr>
            <w:tcW w:w="1417"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&lt;25 µg/dL</w:t>
            </w:r>
          </w:p>
        </w:tc>
        <w:tc>
          <w:tcPr>
            <w:tcW w:w="992"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Sangre</w:t>
            </w:r>
          </w:p>
        </w:tc>
        <w:tc>
          <w:tcPr>
            <w:tcW w:w="1276" w:type="dxa"/>
            <w:tcBorders>
              <w:top w:val="nil"/>
              <w:left w:val="single" w:sz="4" w:space="0" w:color="auto"/>
              <w:bottom w:val="single" w:sz="4" w:space="0" w:color="000000"/>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NOM-199-SSA1-2000, Salud ambiental.</w:t>
            </w:r>
          </w:p>
        </w:tc>
        <w:tc>
          <w:tcPr>
            <w:tcW w:w="269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both"/>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Límite para personas mayores de 15 años con la excepción de mujeres en embarazo. Categoría 1</w:t>
            </w:r>
          </w:p>
        </w:tc>
        <w:tc>
          <w:tcPr>
            <w:tcW w:w="5063" w:type="dxa"/>
            <w:tcBorders>
              <w:top w:val="nil"/>
              <w:left w:val="nil"/>
              <w:bottom w:val="single" w:sz="4" w:space="0" w:color="auto"/>
              <w:right w:val="single" w:sz="4" w:space="0" w:color="auto"/>
            </w:tcBorders>
            <w:shd w:val="clear" w:color="auto" w:fill="auto"/>
            <w:vAlign w:val="center"/>
            <w:hideMark/>
          </w:tcPr>
          <w:p w:rsidR="001D3C29" w:rsidRPr="001D3C29" w:rsidRDefault="00AF69B1" w:rsidP="001D3C29">
            <w:pPr>
              <w:widowControl/>
              <w:suppressAutoHyphens w:val="0"/>
              <w:rPr>
                <w:rFonts w:ascii="Arial" w:eastAsia="Times New Roman" w:hAnsi="Arial" w:cs="Arial"/>
                <w:kern w:val="0"/>
                <w:sz w:val="20"/>
                <w:szCs w:val="20"/>
                <w:lang w:val="es-ES" w:eastAsia="es-CO"/>
              </w:rPr>
            </w:pPr>
            <w:hyperlink r:id="rId18" w:history="1">
              <w:r w:rsidR="001D3C29" w:rsidRPr="001D3C29">
                <w:rPr>
                  <w:rFonts w:ascii="Arial" w:eastAsia="Times New Roman" w:hAnsi="Arial" w:cs="Arial"/>
                  <w:color w:val="0000FF"/>
                  <w:kern w:val="0"/>
                  <w:sz w:val="20"/>
                  <w:szCs w:val="20"/>
                  <w:u w:val="single"/>
                  <w:lang w:val="es-ES" w:eastAsia="es-CO"/>
                </w:rPr>
                <w:t>http://www.salud.gob.mx/unidades/cdi/nom/199ssa10.html</w:t>
              </w:r>
            </w:hyperlink>
          </w:p>
        </w:tc>
      </w:tr>
    </w:tbl>
    <w:p w:rsidR="001D3C29" w:rsidRPr="001D3C29" w:rsidRDefault="001D3C29" w:rsidP="001D3C29">
      <w:pPr>
        <w:widowControl/>
        <w:suppressAutoHyphens w:val="0"/>
        <w:rPr>
          <w:rFonts w:ascii="Arial" w:eastAsia="Times New Roman" w:hAnsi="Arial" w:cs="Arial"/>
          <w:kern w:val="0"/>
          <w:lang w:val="es-ES" w:eastAsia="es-ES"/>
        </w:rPr>
      </w:pPr>
    </w:p>
    <w:tbl>
      <w:tblPr>
        <w:tblW w:w="13001" w:type="dxa"/>
        <w:tblInd w:w="-5" w:type="dxa"/>
        <w:tblLayout w:type="fixed"/>
        <w:tblCellMar>
          <w:left w:w="70" w:type="dxa"/>
          <w:right w:w="70" w:type="dxa"/>
        </w:tblCellMar>
        <w:tblLook w:val="04A0" w:firstRow="1" w:lastRow="0" w:firstColumn="1" w:lastColumn="0" w:noHBand="0" w:noVBand="1"/>
      </w:tblPr>
      <w:tblGrid>
        <w:gridCol w:w="426"/>
        <w:gridCol w:w="1134"/>
        <w:gridCol w:w="1417"/>
        <w:gridCol w:w="992"/>
        <w:gridCol w:w="1276"/>
        <w:gridCol w:w="2693"/>
        <w:gridCol w:w="5063"/>
      </w:tblGrid>
      <w:tr w:rsidR="001D3C29" w:rsidRPr="001D3C29" w:rsidTr="00844246">
        <w:trPr>
          <w:trHeight w:val="1110"/>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15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México</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25-44 µg/dL</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Sangre</w:t>
            </w:r>
          </w:p>
        </w:tc>
        <w:tc>
          <w:tcPr>
            <w:tcW w:w="1276" w:type="dxa"/>
            <w:tcBorders>
              <w:top w:val="single" w:sz="4" w:space="0" w:color="auto"/>
              <w:left w:val="single" w:sz="4" w:space="0" w:color="auto"/>
              <w:bottom w:val="single" w:sz="4" w:space="0" w:color="000000"/>
              <w:right w:val="single" w:sz="4" w:space="0" w:color="auto"/>
            </w:tcBorders>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NOM-199-SSA1-2000, Salud ambiental.</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both"/>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Proporcionar información adecuada, confirmar la prueba, investigación por parte de autoridades en salud. Categoría 2.</w:t>
            </w:r>
          </w:p>
        </w:tc>
        <w:tc>
          <w:tcPr>
            <w:tcW w:w="5063" w:type="dxa"/>
            <w:tcBorders>
              <w:top w:val="single" w:sz="4" w:space="0" w:color="auto"/>
              <w:left w:val="nil"/>
              <w:bottom w:val="single" w:sz="4" w:space="0" w:color="auto"/>
              <w:right w:val="single" w:sz="4" w:space="0" w:color="auto"/>
            </w:tcBorders>
            <w:shd w:val="clear" w:color="auto" w:fill="auto"/>
            <w:vAlign w:val="center"/>
            <w:hideMark/>
          </w:tcPr>
          <w:p w:rsidR="001D3C29" w:rsidRPr="001D3C29" w:rsidRDefault="00AF69B1" w:rsidP="001D3C29">
            <w:pPr>
              <w:widowControl/>
              <w:suppressAutoHyphens w:val="0"/>
              <w:rPr>
                <w:rFonts w:ascii="Arial" w:eastAsia="Times New Roman" w:hAnsi="Arial" w:cs="Arial"/>
                <w:kern w:val="0"/>
                <w:sz w:val="20"/>
                <w:szCs w:val="20"/>
                <w:lang w:val="es-ES" w:eastAsia="es-CO"/>
              </w:rPr>
            </w:pPr>
            <w:hyperlink r:id="rId19" w:history="1">
              <w:r w:rsidR="001D3C29" w:rsidRPr="001D3C29">
                <w:rPr>
                  <w:rFonts w:ascii="Arial" w:eastAsia="Times New Roman" w:hAnsi="Arial" w:cs="Arial"/>
                  <w:color w:val="0000FF"/>
                  <w:kern w:val="0"/>
                  <w:sz w:val="20"/>
                  <w:szCs w:val="20"/>
                  <w:u w:val="single"/>
                  <w:lang w:val="es-ES" w:eastAsia="es-CO"/>
                </w:rPr>
                <w:t>http://www.salud.gob.mx/unidades/cdi/nom/199ssa10.html</w:t>
              </w:r>
            </w:hyperlink>
          </w:p>
        </w:tc>
      </w:tr>
      <w:tr w:rsidR="001D3C29" w:rsidRPr="001D3C29" w:rsidTr="00844246">
        <w:trPr>
          <w:trHeight w:val="728"/>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16</w:t>
            </w:r>
          </w:p>
        </w:tc>
        <w:tc>
          <w:tcPr>
            <w:tcW w:w="1134"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México</w:t>
            </w:r>
          </w:p>
        </w:tc>
        <w:tc>
          <w:tcPr>
            <w:tcW w:w="1417"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&gt;45 µg/dL</w:t>
            </w:r>
          </w:p>
        </w:tc>
        <w:tc>
          <w:tcPr>
            <w:tcW w:w="992"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Sangre</w:t>
            </w:r>
          </w:p>
        </w:tc>
        <w:tc>
          <w:tcPr>
            <w:tcW w:w="1276" w:type="dxa"/>
            <w:tcBorders>
              <w:top w:val="nil"/>
              <w:left w:val="single" w:sz="4" w:space="0" w:color="auto"/>
              <w:bottom w:val="single" w:sz="4" w:space="0" w:color="000000"/>
              <w:right w:val="single" w:sz="4" w:space="0" w:color="auto"/>
            </w:tcBorders>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NOM-199-SSA1-2000, Salud ambiental.</w:t>
            </w:r>
          </w:p>
        </w:tc>
        <w:tc>
          <w:tcPr>
            <w:tcW w:w="269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both"/>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Toma de medidas correctivas y valoración por especialistas. Categoría 3 y 4</w:t>
            </w:r>
          </w:p>
        </w:tc>
        <w:tc>
          <w:tcPr>
            <w:tcW w:w="5063" w:type="dxa"/>
            <w:tcBorders>
              <w:top w:val="nil"/>
              <w:left w:val="nil"/>
              <w:bottom w:val="single" w:sz="4" w:space="0" w:color="auto"/>
              <w:right w:val="single" w:sz="4" w:space="0" w:color="auto"/>
            </w:tcBorders>
            <w:shd w:val="clear" w:color="auto" w:fill="auto"/>
            <w:vAlign w:val="center"/>
            <w:hideMark/>
          </w:tcPr>
          <w:p w:rsidR="001D3C29" w:rsidRPr="001D3C29" w:rsidRDefault="00AF69B1" w:rsidP="001D3C29">
            <w:pPr>
              <w:widowControl/>
              <w:suppressAutoHyphens w:val="0"/>
              <w:rPr>
                <w:rFonts w:ascii="Arial" w:eastAsia="Times New Roman" w:hAnsi="Arial" w:cs="Arial"/>
                <w:kern w:val="0"/>
                <w:sz w:val="20"/>
                <w:szCs w:val="20"/>
                <w:lang w:val="es-ES" w:eastAsia="es-CO"/>
              </w:rPr>
            </w:pPr>
            <w:hyperlink r:id="rId20" w:history="1">
              <w:r w:rsidR="001D3C29" w:rsidRPr="001D3C29">
                <w:rPr>
                  <w:rFonts w:ascii="Arial" w:eastAsia="Times New Roman" w:hAnsi="Arial" w:cs="Arial"/>
                  <w:color w:val="0000FF"/>
                  <w:kern w:val="0"/>
                  <w:sz w:val="20"/>
                  <w:szCs w:val="20"/>
                  <w:u w:val="single"/>
                  <w:lang w:val="es-ES" w:eastAsia="es-CO"/>
                </w:rPr>
                <w:t>http://www.salud.gob.mx/unidades/cdi/nom/199ssa10.html</w:t>
              </w:r>
            </w:hyperlink>
          </w:p>
        </w:tc>
      </w:tr>
      <w:tr w:rsidR="001D3C29" w:rsidRPr="001D3C29" w:rsidTr="00844246">
        <w:trPr>
          <w:trHeight w:val="728"/>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17</w:t>
            </w:r>
          </w:p>
        </w:tc>
        <w:tc>
          <w:tcPr>
            <w:tcW w:w="1134"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Chile</w:t>
            </w:r>
          </w:p>
        </w:tc>
        <w:tc>
          <w:tcPr>
            <w:tcW w:w="1417"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40 µg/dL</w:t>
            </w:r>
          </w:p>
        </w:tc>
        <w:tc>
          <w:tcPr>
            <w:tcW w:w="992"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Sangre</w:t>
            </w:r>
          </w:p>
        </w:tc>
        <w:tc>
          <w:tcPr>
            <w:tcW w:w="1276"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OSHA</w:t>
            </w:r>
          </w:p>
        </w:tc>
        <w:tc>
          <w:tcPr>
            <w:tcW w:w="269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both"/>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Lesión en tejidos blandos (LTB) en área ocupacional.</w:t>
            </w:r>
          </w:p>
        </w:tc>
        <w:tc>
          <w:tcPr>
            <w:tcW w:w="506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http://www.revistasaludpublica.uchile.cl/index.php/RCSP/article/viewFile/2074/1919</w:t>
            </w:r>
          </w:p>
        </w:tc>
      </w:tr>
      <w:tr w:rsidR="001D3C29" w:rsidRPr="001D3C29" w:rsidTr="00844246">
        <w:trPr>
          <w:trHeight w:val="572"/>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18</w:t>
            </w:r>
          </w:p>
        </w:tc>
        <w:tc>
          <w:tcPr>
            <w:tcW w:w="1134"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España</w:t>
            </w:r>
          </w:p>
        </w:tc>
        <w:tc>
          <w:tcPr>
            <w:tcW w:w="1417"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40 µg/dL</w:t>
            </w:r>
          </w:p>
        </w:tc>
        <w:tc>
          <w:tcPr>
            <w:tcW w:w="992"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Sangre</w:t>
            </w:r>
          </w:p>
        </w:tc>
        <w:tc>
          <w:tcPr>
            <w:tcW w:w="1276" w:type="dxa"/>
            <w:tcBorders>
              <w:top w:val="nil"/>
              <w:left w:val="nil"/>
              <w:bottom w:val="single" w:sz="4" w:space="0" w:color="auto"/>
              <w:right w:val="single" w:sz="4" w:space="0" w:color="auto"/>
            </w:tcBorders>
            <w:shd w:val="clear" w:color="auto" w:fill="auto"/>
            <w:vAlign w:val="center"/>
            <w:hideMark/>
          </w:tcPr>
          <w:p w:rsidR="001D3C29" w:rsidRPr="001D3C29" w:rsidRDefault="00A8711D"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Min trabajo</w:t>
            </w:r>
          </w:p>
        </w:tc>
        <w:tc>
          <w:tcPr>
            <w:tcW w:w="269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both"/>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Trabajador expuesto hombre.</w:t>
            </w:r>
          </w:p>
        </w:tc>
        <w:tc>
          <w:tcPr>
            <w:tcW w:w="5063" w:type="dxa"/>
            <w:vMerge w:val="restart"/>
            <w:tcBorders>
              <w:top w:val="nil"/>
              <w:left w:val="single" w:sz="4" w:space="0" w:color="auto"/>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http://www.insht.es/InshtWeb/Contenidos/Documentacion/FichasTecnicas/NTP/Ficheros/101a200/ntp_165.pdf</w:t>
            </w:r>
          </w:p>
        </w:tc>
      </w:tr>
      <w:tr w:rsidR="001D3C29" w:rsidRPr="001D3C29" w:rsidTr="00844246">
        <w:trPr>
          <w:trHeight w:val="691"/>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19</w:t>
            </w:r>
          </w:p>
        </w:tc>
        <w:tc>
          <w:tcPr>
            <w:tcW w:w="1134"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España</w:t>
            </w:r>
          </w:p>
        </w:tc>
        <w:tc>
          <w:tcPr>
            <w:tcW w:w="1417"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30 µg/dL</w:t>
            </w:r>
          </w:p>
        </w:tc>
        <w:tc>
          <w:tcPr>
            <w:tcW w:w="992"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Sangre</w:t>
            </w:r>
          </w:p>
        </w:tc>
        <w:tc>
          <w:tcPr>
            <w:tcW w:w="1276" w:type="dxa"/>
            <w:tcBorders>
              <w:top w:val="nil"/>
              <w:left w:val="nil"/>
              <w:bottom w:val="single" w:sz="4" w:space="0" w:color="auto"/>
              <w:right w:val="single" w:sz="4" w:space="0" w:color="auto"/>
            </w:tcBorders>
            <w:shd w:val="clear" w:color="auto" w:fill="auto"/>
            <w:vAlign w:val="center"/>
            <w:hideMark/>
          </w:tcPr>
          <w:p w:rsidR="001D3C29" w:rsidRPr="001D3C29" w:rsidRDefault="00A8711D"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Min trabajo</w:t>
            </w:r>
          </w:p>
        </w:tc>
        <w:tc>
          <w:tcPr>
            <w:tcW w:w="269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both"/>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Trabajador expuesto mujer en periodo fértil.</w:t>
            </w:r>
          </w:p>
        </w:tc>
        <w:tc>
          <w:tcPr>
            <w:tcW w:w="5063" w:type="dxa"/>
            <w:vMerge/>
            <w:tcBorders>
              <w:top w:val="nil"/>
              <w:left w:val="single" w:sz="4" w:space="0" w:color="auto"/>
              <w:bottom w:val="single" w:sz="4" w:space="0" w:color="auto"/>
              <w:right w:val="single" w:sz="4" w:space="0" w:color="auto"/>
            </w:tcBorders>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p>
        </w:tc>
      </w:tr>
      <w:tr w:rsidR="001D3C29" w:rsidRPr="001D3C29" w:rsidTr="00844246">
        <w:trPr>
          <w:trHeight w:val="728"/>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20</w:t>
            </w:r>
          </w:p>
        </w:tc>
        <w:tc>
          <w:tcPr>
            <w:tcW w:w="1134"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España</w:t>
            </w:r>
          </w:p>
        </w:tc>
        <w:tc>
          <w:tcPr>
            <w:tcW w:w="1417"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70 µg/dL</w:t>
            </w:r>
          </w:p>
        </w:tc>
        <w:tc>
          <w:tcPr>
            <w:tcW w:w="992"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Sangre</w:t>
            </w:r>
          </w:p>
        </w:tc>
        <w:tc>
          <w:tcPr>
            <w:tcW w:w="1276" w:type="dxa"/>
            <w:tcBorders>
              <w:top w:val="nil"/>
              <w:left w:val="nil"/>
              <w:bottom w:val="single" w:sz="4" w:space="0" w:color="auto"/>
              <w:right w:val="single" w:sz="4" w:space="0" w:color="auto"/>
            </w:tcBorders>
            <w:shd w:val="clear" w:color="auto" w:fill="auto"/>
            <w:vAlign w:val="center"/>
            <w:hideMark/>
          </w:tcPr>
          <w:p w:rsidR="001D3C29" w:rsidRPr="001D3C29" w:rsidRDefault="00A8711D"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Min trabajo</w:t>
            </w:r>
          </w:p>
        </w:tc>
        <w:tc>
          <w:tcPr>
            <w:tcW w:w="269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both"/>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Valor límite de concentración de plomo en sangre (plumbemia).</w:t>
            </w:r>
          </w:p>
        </w:tc>
        <w:tc>
          <w:tcPr>
            <w:tcW w:w="5063" w:type="dxa"/>
            <w:vMerge/>
            <w:tcBorders>
              <w:top w:val="nil"/>
              <w:left w:val="single" w:sz="4" w:space="0" w:color="auto"/>
              <w:bottom w:val="single" w:sz="4" w:space="0" w:color="auto"/>
              <w:right w:val="single" w:sz="4" w:space="0" w:color="auto"/>
            </w:tcBorders>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p>
        </w:tc>
      </w:tr>
      <w:tr w:rsidR="001D3C29" w:rsidRPr="001D3C29" w:rsidTr="00844246">
        <w:trPr>
          <w:trHeight w:val="728"/>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21</w:t>
            </w:r>
          </w:p>
        </w:tc>
        <w:tc>
          <w:tcPr>
            <w:tcW w:w="1134"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España</w:t>
            </w:r>
          </w:p>
        </w:tc>
        <w:tc>
          <w:tcPr>
            <w:tcW w:w="1417"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&lt;40 µg/dL</w:t>
            </w:r>
          </w:p>
        </w:tc>
        <w:tc>
          <w:tcPr>
            <w:tcW w:w="992"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Sangre</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Ministerio de Sanidad y de consumo, Gobierno de España</w:t>
            </w:r>
          </w:p>
        </w:tc>
        <w:tc>
          <w:tcPr>
            <w:tcW w:w="269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both"/>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Nivel de riesgo 1 (hombres): vigilancia</w:t>
            </w:r>
          </w:p>
        </w:tc>
        <w:tc>
          <w:tcPr>
            <w:tcW w:w="5063" w:type="dxa"/>
            <w:vMerge w:val="restart"/>
            <w:tcBorders>
              <w:top w:val="nil"/>
              <w:left w:val="single" w:sz="4" w:space="0" w:color="auto"/>
              <w:bottom w:val="single" w:sz="4" w:space="0" w:color="auto"/>
              <w:right w:val="single" w:sz="4" w:space="0" w:color="auto"/>
            </w:tcBorders>
            <w:shd w:val="clear" w:color="auto" w:fill="auto"/>
            <w:vAlign w:val="center"/>
            <w:hideMark/>
          </w:tcPr>
          <w:p w:rsidR="001D3C29" w:rsidRPr="001D3C29" w:rsidRDefault="00AF69B1" w:rsidP="001D3C29">
            <w:pPr>
              <w:widowControl/>
              <w:suppressAutoHyphens w:val="0"/>
              <w:rPr>
                <w:rFonts w:ascii="Arial" w:eastAsia="Times New Roman" w:hAnsi="Arial" w:cs="Arial"/>
                <w:kern w:val="0"/>
                <w:sz w:val="20"/>
                <w:szCs w:val="20"/>
                <w:lang w:val="es-ES" w:eastAsia="es-CO"/>
              </w:rPr>
            </w:pPr>
            <w:hyperlink r:id="rId21" w:history="1">
              <w:r w:rsidR="001D3C29" w:rsidRPr="001D3C29">
                <w:rPr>
                  <w:rFonts w:ascii="Arial" w:eastAsia="Times New Roman" w:hAnsi="Arial" w:cs="Arial"/>
                  <w:color w:val="0000FF"/>
                  <w:kern w:val="0"/>
                  <w:sz w:val="20"/>
                  <w:szCs w:val="20"/>
                  <w:u w:val="single"/>
                  <w:lang w:val="es-ES" w:eastAsia="es-CO"/>
                </w:rPr>
                <w:t>http://www.msssi.gob.es/ciudadanos/saludAmbLaboral/docs/plomo.pdf</w:t>
              </w:r>
            </w:hyperlink>
          </w:p>
        </w:tc>
      </w:tr>
      <w:tr w:rsidR="001D3C29" w:rsidRPr="001D3C29" w:rsidTr="00844246">
        <w:trPr>
          <w:trHeight w:val="728"/>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22</w:t>
            </w:r>
          </w:p>
        </w:tc>
        <w:tc>
          <w:tcPr>
            <w:tcW w:w="1134"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España</w:t>
            </w:r>
          </w:p>
        </w:tc>
        <w:tc>
          <w:tcPr>
            <w:tcW w:w="1417"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40-60 µg/dL</w:t>
            </w:r>
          </w:p>
        </w:tc>
        <w:tc>
          <w:tcPr>
            <w:tcW w:w="992"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Sangre</w:t>
            </w:r>
          </w:p>
        </w:tc>
        <w:tc>
          <w:tcPr>
            <w:tcW w:w="1276" w:type="dxa"/>
            <w:vMerge/>
            <w:tcBorders>
              <w:top w:val="nil"/>
              <w:left w:val="single" w:sz="4" w:space="0" w:color="auto"/>
              <w:bottom w:val="single" w:sz="4" w:space="0" w:color="auto"/>
              <w:right w:val="single" w:sz="4" w:space="0" w:color="auto"/>
            </w:tcBorders>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p>
        </w:tc>
        <w:tc>
          <w:tcPr>
            <w:tcW w:w="269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both"/>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Nivel de riesgo 2: vigilancia</w:t>
            </w:r>
          </w:p>
        </w:tc>
        <w:tc>
          <w:tcPr>
            <w:tcW w:w="5063" w:type="dxa"/>
            <w:vMerge/>
            <w:tcBorders>
              <w:top w:val="nil"/>
              <w:left w:val="single" w:sz="4" w:space="0" w:color="auto"/>
              <w:bottom w:val="single" w:sz="4" w:space="0" w:color="auto"/>
              <w:right w:val="single" w:sz="4" w:space="0" w:color="auto"/>
            </w:tcBorders>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p>
        </w:tc>
      </w:tr>
      <w:tr w:rsidR="001D3C29" w:rsidRPr="001D3C29" w:rsidTr="00844246">
        <w:trPr>
          <w:trHeight w:val="728"/>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23</w:t>
            </w:r>
          </w:p>
        </w:tc>
        <w:tc>
          <w:tcPr>
            <w:tcW w:w="1134"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España</w:t>
            </w:r>
          </w:p>
        </w:tc>
        <w:tc>
          <w:tcPr>
            <w:tcW w:w="1417"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60-70 µg/dL</w:t>
            </w:r>
          </w:p>
        </w:tc>
        <w:tc>
          <w:tcPr>
            <w:tcW w:w="992"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Sangre</w:t>
            </w:r>
          </w:p>
        </w:tc>
        <w:tc>
          <w:tcPr>
            <w:tcW w:w="1276" w:type="dxa"/>
            <w:vMerge/>
            <w:tcBorders>
              <w:top w:val="nil"/>
              <w:left w:val="single" w:sz="4" w:space="0" w:color="auto"/>
              <w:bottom w:val="single" w:sz="4" w:space="0" w:color="auto"/>
              <w:right w:val="single" w:sz="4" w:space="0" w:color="auto"/>
            </w:tcBorders>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p>
        </w:tc>
        <w:tc>
          <w:tcPr>
            <w:tcW w:w="269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both"/>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Nivel de riesgo 3: nivel de intervención</w:t>
            </w:r>
          </w:p>
        </w:tc>
        <w:tc>
          <w:tcPr>
            <w:tcW w:w="5063" w:type="dxa"/>
            <w:vMerge/>
            <w:tcBorders>
              <w:top w:val="nil"/>
              <w:left w:val="single" w:sz="4" w:space="0" w:color="auto"/>
              <w:bottom w:val="single" w:sz="4" w:space="0" w:color="auto"/>
              <w:right w:val="single" w:sz="4" w:space="0" w:color="auto"/>
            </w:tcBorders>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p>
        </w:tc>
      </w:tr>
      <w:tr w:rsidR="001D3C29" w:rsidRPr="001D3C29" w:rsidTr="00844246">
        <w:trPr>
          <w:trHeight w:val="728"/>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24</w:t>
            </w:r>
          </w:p>
        </w:tc>
        <w:tc>
          <w:tcPr>
            <w:tcW w:w="1134"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España</w:t>
            </w:r>
          </w:p>
        </w:tc>
        <w:tc>
          <w:tcPr>
            <w:tcW w:w="1417"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&gt;70 µg/dL</w:t>
            </w:r>
          </w:p>
        </w:tc>
        <w:tc>
          <w:tcPr>
            <w:tcW w:w="992"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Sangre</w:t>
            </w:r>
          </w:p>
        </w:tc>
        <w:tc>
          <w:tcPr>
            <w:tcW w:w="1276" w:type="dxa"/>
            <w:vMerge/>
            <w:tcBorders>
              <w:top w:val="nil"/>
              <w:left w:val="single" w:sz="4" w:space="0" w:color="auto"/>
              <w:bottom w:val="single" w:sz="4" w:space="0" w:color="auto"/>
              <w:right w:val="single" w:sz="4" w:space="0" w:color="auto"/>
            </w:tcBorders>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p>
        </w:tc>
        <w:tc>
          <w:tcPr>
            <w:tcW w:w="269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both"/>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Nivel de riesgo 4: capaz de provocar un estado patológico.</w:t>
            </w:r>
          </w:p>
        </w:tc>
        <w:tc>
          <w:tcPr>
            <w:tcW w:w="5063" w:type="dxa"/>
            <w:vMerge/>
            <w:tcBorders>
              <w:top w:val="nil"/>
              <w:left w:val="single" w:sz="4" w:space="0" w:color="auto"/>
              <w:bottom w:val="single" w:sz="4" w:space="0" w:color="auto"/>
              <w:right w:val="single" w:sz="4" w:space="0" w:color="auto"/>
            </w:tcBorders>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p>
        </w:tc>
      </w:tr>
    </w:tbl>
    <w:p w:rsidR="001D3C29" w:rsidRPr="001D3C29" w:rsidRDefault="001D3C29" w:rsidP="001D3C29">
      <w:pPr>
        <w:widowControl/>
        <w:suppressAutoHyphens w:val="0"/>
        <w:rPr>
          <w:rFonts w:ascii="Arial" w:eastAsia="Times New Roman" w:hAnsi="Arial" w:cs="Arial"/>
          <w:kern w:val="0"/>
          <w:lang w:val="es-ES" w:eastAsia="es-ES"/>
        </w:rPr>
      </w:pPr>
    </w:p>
    <w:tbl>
      <w:tblPr>
        <w:tblW w:w="13001" w:type="dxa"/>
        <w:tblInd w:w="-5" w:type="dxa"/>
        <w:tblLayout w:type="fixed"/>
        <w:tblCellMar>
          <w:left w:w="70" w:type="dxa"/>
          <w:right w:w="70" w:type="dxa"/>
        </w:tblCellMar>
        <w:tblLook w:val="04A0" w:firstRow="1" w:lastRow="0" w:firstColumn="1" w:lastColumn="0" w:noHBand="0" w:noVBand="1"/>
      </w:tblPr>
      <w:tblGrid>
        <w:gridCol w:w="426"/>
        <w:gridCol w:w="1134"/>
        <w:gridCol w:w="1417"/>
        <w:gridCol w:w="992"/>
        <w:gridCol w:w="1276"/>
        <w:gridCol w:w="2693"/>
        <w:gridCol w:w="5063"/>
      </w:tblGrid>
      <w:tr w:rsidR="001D3C29" w:rsidRPr="001D3C29" w:rsidTr="00844246">
        <w:trPr>
          <w:trHeight w:val="728"/>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lang w:val="es-ES" w:eastAsia="es-ES"/>
              </w:rPr>
              <w:lastRenderedPageBreak/>
              <w:br w:type="page"/>
            </w:r>
            <w:r w:rsidRPr="001D3C29">
              <w:rPr>
                <w:rFonts w:ascii="Arial" w:eastAsia="Times New Roman" w:hAnsi="Arial" w:cs="Arial"/>
                <w:kern w:val="0"/>
                <w:sz w:val="20"/>
                <w:szCs w:val="20"/>
                <w:lang w:val="es-ES" w:eastAsia="es-CO"/>
              </w:rPr>
              <w:t>25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México</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30 µg/dL</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Sangre</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 xml:space="preserve">NOM-047-SSA1-2011. Salud ambiental-IBC </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both"/>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IBC: índice biológico de exposición personal ocupacional, hombres.</w:t>
            </w:r>
          </w:p>
        </w:tc>
        <w:tc>
          <w:tcPr>
            <w:tcW w:w="50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3C29" w:rsidRPr="001D3C29" w:rsidRDefault="00AF69B1" w:rsidP="001D3C29">
            <w:pPr>
              <w:widowControl/>
              <w:suppressAutoHyphens w:val="0"/>
              <w:rPr>
                <w:rFonts w:ascii="Arial" w:eastAsia="Times New Roman" w:hAnsi="Arial" w:cs="Arial"/>
                <w:kern w:val="0"/>
                <w:sz w:val="20"/>
                <w:szCs w:val="20"/>
                <w:lang w:val="es-ES" w:eastAsia="es-CO"/>
              </w:rPr>
            </w:pPr>
            <w:hyperlink r:id="rId22" w:history="1">
              <w:r w:rsidR="001D3C29" w:rsidRPr="001D3C29">
                <w:rPr>
                  <w:rFonts w:ascii="Arial" w:eastAsia="Times New Roman" w:hAnsi="Arial" w:cs="Arial"/>
                  <w:color w:val="0000FF"/>
                  <w:kern w:val="0"/>
                  <w:sz w:val="20"/>
                  <w:szCs w:val="20"/>
                  <w:u w:val="single"/>
                  <w:lang w:val="es-ES" w:eastAsia="es-CO"/>
                </w:rPr>
                <w:t>http://dof.gob.mx/nota_detalle.php?codigo=5249877&amp;fecha=06/06/2012</w:t>
              </w:r>
            </w:hyperlink>
          </w:p>
        </w:tc>
      </w:tr>
      <w:tr w:rsidR="001D3C29" w:rsidRPr="001D3C29" w:rsidTr="00844246">
        <w:trPr>
          <w:trHeight w:val="728"/>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26</w:t>
            </w:r>
          </w:p>
        </w:tc>
        <w:tc>
          <w:tcPr>
            <w:tcW w:w="1134"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México</w:t>
            </w:r>
          </w:p>
        </w:tc>
        <w:tc>
          <w:tcPr>
            <w:tcW w:w="1417"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10 µg/dL</w:t>
            </w:r>
          </w:p>
        </w:tc>
        <w:tc>
          <w:tcPr>
            <w:tcW w:w="992"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Sangre</w:t>
            </w:r>
          </w:p>
        </w:tc>
        <w:tc>
          <w:tcPr>
            <w:tcW w:w="1276" w:type="dxa"/>
            <w:vMerge/>
            <w:tcBorders>
              <w:top w:val="nil"/>
              <w:left w:val="single" w:sz="4" w:space="0" w:color="auto"/>
              <w:bottom w:val="single" w:sz="4" w:space="0" w:color="auto"/>
              <w:right w:val="single" w:sz="4" w:space="0" w:color="auto"/>
            </w:tcBorders>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p>
        </w:tc>
        <w:tc>
          <w:tcPr>
            <w:tcW w:w="269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both"/>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IBC, personal ocupacional mujeres.</w:t>
            </w:r>
          </w:p>
        </w:tc>
        <w:tc>
          <w:tcPr>
            <w:tcW w:w="5063" w:type="dxa"/>
            <w:vMerge/>
            <w:tcBorders>
              <w:top w:val="nil"/>
              <w:left w:val="single" w:sz="4" w:space="0" w:color="auto"/>
              <w:bottom w:val="single" w:sz="4" w:space="0" w:color="auto"/>
              <w:right w:val="single" w:sz="4" w:space="0" w:color="auto"/>
            </w:tcBorders>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p>
        </w:tc>
      </w:tr>
      <w:tr w:rsidR="001D3C29" w:rsidRPr="001D3C29" w:rsidTr="00844246">
        <w:trPr>
          <w:trHeight w:val="728"/>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27</w:t>
            </w:r>
          </w:p>
        </w:tc>
        <w:tc>
          <w:tcPr>
            <w:tcW w:w="1134"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México</w:t>
            </w:r>
          </w:p>
        </w:tc>
        <w:tc>
          <w:tcPr>
            <w:tcW w:w="1417"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&lt;10 µg/dL</w:t>
            </w:r>
          </w:p>
        </w:tc>
        <w:tc>
          <w:tcPr>
            <w:tcW w:w="992"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Sangre</w:t>
            </w:r>
          </w:p>
        </w:tc>
        <w:tc>
          <w:tcPr>
            <w:tcW w:w="1276" w:type="dxa"/>
            <w:vMerge/>
            <w:tcBorders>
              <w:top w:val="nil"/>
              <w:left w:val="single" w:sz="4" w:space="0" w:color="auto"/>
              <w:bottom w:val="single" w:sz="4" w:space="0" w:color="auto"/>
              <w:right w:val="single" w:sz="4" w:space="0" w:color="auto"/>
            </w:tcBorders>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p>
        </w:tc>
        <w:tc>
          <w:tcPr>
            <w:tcW w:w="269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both"/>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IBC, mujeres embarazadas según CDC</w:t>
            </w:r>
          </w:p>
        </w:tc>
        <w:tc>
          <w:tcPr>
            <w:tcW w:w="5063" w:type="dxa"/>
            <w:vMerge/>
            <w:tcBorders>
              <w:top w:val="nil"/>
              <w:left w:val="single" w:sz="4" w:space="0" w:color="auto"/>
              <w:bottom w:val="single" w:sz="4" w:space="0" w:color="auto"/>
              <w:right w:val="single" w:sz="4" w:space="0" w:color="auto"/>
            </w:tcBorders>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p>
        </w:tc>
      </w:tr>
      <w:tr w:rsidR="001D3C29" w:rsidRPr="001D3C29" w:rsidTr="00844246">
        <w:trPr>
          <w:trHeight w:val="1129"/>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28</w:t>
            </w:r>
          </w:p>
        </w:tc>
        <w:tc>
          <w:tcPr>
            <w:tcW w:w="1134"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Australia</w:t>
            </w:r>
          </w:p>
        </w:tc>
        <w:tc>
          <w:tcPr>
            <w:tcW w:w="1417"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&lt;10 µg/dL</w:t>
            </w:r>
          </w:p>
        </w:tc>
        <w:tc>
          <w:tcPr>
            <w:tcW w:w="992"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Sangre</w:t>
            </w:r>
          </w:p>
        </w:tc>
        <w:tc>
          <w:tcPr>
            <w:tcW w:w="1276"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NHMRC</w:t>
            </w:r>
          </w:p>
        </w:tc>
        <w:tc>
          <w:tcPr>
            <w:tcW w:w="269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both"/>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 xml:space="preserve">Recomendación </w:t>
            </w:r>
            <w:r w:rsidRPr="001D3C29">
              <w:rPr>
                <w:rFonts w:ascii="Arial" w:eastAsia="Times New Roman" w:hAnsi="Arial" w:cs="Arial"/>
                <w:kern w:val="0"/>
                <w:sz w:val="20"/>
                <w:szCs w:val="20"/>
                <w:lang w:val="en-US" w:eastAsia="es-CO"/>
              </w:rPr>
              <w:t>de National Health and Medical Research Council</w:t>
            </w:r>
            <w:r w:rsidRPr="001D3C29">
              <w:rPr>
                <w:rFonts w:ascii="Arial" w:eastAsia="Times New Roman" w:hAnsi="Arial" w:cs="Arial"/>
                <w:kern w:val="0"/>
                <w:sz w:val="20"/>
                <w:szCs w:val="20"/>
                <w:lang w:val="es-ES" w:eastAsia="es-CO"/>
              </w:rPr>
              <w:t>, Gobierno de Australia.</w:t>
            </w:r>
          </w:p>
        </w:tc>
        <w:tc>
          <w:tcPr>
            <w:tcW w:w="506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https://www.nhmrc.gov.au/_files_nhmrc/publications/attachments/gp2-lead-info-paper.pdf</w:t>
            </w:r>
          </w:p>
        </w:tc>
      </w:tr>
      <w:tr w:rsidR="001D3C29" w:rsidRPr="001D3C29" w:rsidTr="00844246">
        <w:trPr>
          <w:trHeight w:val="728"/>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29</w:t>
            </w:r>
          </w:p>
        </w:tc>
        <w:tc>
          <w:tcPr>
            <w:tcW w:w="1134"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Internacional</w:t>
            </w:r>
          </w:p>
        </w:tc>
        <w:tc>
          <w:tcPr>
            <w:tcW w:w="1417"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15-20 µg/dL</w:t>
            </w:r>
          </w:p>
        </w:tc>
        <w:tc>
          <w:tcPr>
            <w:tcW w:w="992"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Sangre</w:t>
            </w:r>
          </w:p>
        </w:tc>
        <w:tc>
          <w:tcPr>
            <w:tcW w:w="1276" w:type="dxa"/>
            <w:tcBorders>
              <w:top w:val="nil"/>
              <w:left w:val="nil"/>
              <w:bottom w:val="single" w:sz="4" w:space="0" w:color="auto"/>
              <w:right w:val="single" w:sz="4" w:space="0" w:color="auto"/>
            </w:tcBorders>
            <w:shd w:val="clear" w:color="auto" w:fill="auto"/>
            <w:noWrap/>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OMS</w:t>
            </w:r>
          </w:p>
        </w:tc>
        <w:tc>
          <w:tcPr>
            <w:tcW w:w="269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both"/>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Nivel mínimo con el que se observa un efecto en la salud de las personas.</w:t>
            </w:r>
          </w:p>
        </w:tc>
        <w:tc>
          <w:tcPr>
            <w:tcW w:w="506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http://www.who.int/ceh/publications/leadguidance.pdf  http://www.who.int/mediacentre/factsheets/fs379/es/</w:t>
            </w:r>
          </w:p>
        </w:tc>
      </w:tr>
    </w:tbl>
    <w:p w:rsidR="001D3C29" w:rsidRPr="001D3C29" w:rsidRDefault="001D3C29" w:rsidP="001D3C29">
      <w:pPr>
        <w:widowControl/>
        <w:suppressAutoHyphens w:val="0"/>
        <w:rPr>
          <w:rFonts w:ascii="Arial" w:eastAsia="Times New Roman" w:hAnsi="Arial" w:cs="Arial"/>
          <w:kern w:val="0"/>
          <w:lang w:val="es-ES" w:eastAsia="es-ES"/>
        </w:rPr>
      </w:pPr>
    </w:p>
    <w:p w:rsidR="001D3C29" w:rsidRPr="001D3C29" w:rsidRDefault="001D3C29" w:rsidP="001D3C29">
      <w:pPr>
        <w:widowControl/>
        <w:suppressAutoHyphens w:val="0"/>
        <w:rPr>
          <w:rFonts w:ascii="Arial" w:eastAsia="Times New Roman" w:hAnsi="Arial" w:cs="Arial"/>
          <w:kern w:val="0"/>
          <w:lang w:val="es-ES" w:eastAsia="es-ES"/>
        </w:rPr>
      </w:pPr>
    </w:p>
    <w:p w:rsidR="001D3C29" w:rsidRPr="001D3C29" w:rsidRDefault="001D3C29" w:rsidP="001D3C29">
      <w:pPr>
        <w:widowControl/>
        <w:suppressAutoHyphens w:val="0"/>
        <w:rPr>
          <w:rFonts w:ascii="Arial" w:eastAsia="Times New Roman" w:hAnsi="Arial" w:cs="Arial"/>
          <w:kern w:val="0"/>
          <w:lang w:val="es-ES" w:eastAsia="es-ES"/>
        </w:rPr>
      </w:pPr>
      <w:r w:rsidRPr="001D3C29">
        <w:rPr>
          <w:rFonts w:ascii="Arial" w:eastAsia="Times New Roman" w:hAnsi="Arial" w:cs="Arial"/>
          <w:kern w:val="0"/>
          <w:lang w:val="es-ES" w:eastAsia="es-ES"/>
        </w:rPr>
        <w:br w:type="page"/>
      </w:r>
    </w:p>
    <w:tbl>
      <w:tblPr>
        <w:tblpPr w:leftFromText="142" w:rightFromText="142" w:vertAnchor="text" w:horzAnchor="margin" w:tblpY="1"/>
        <w:tblW w:w="13494" w:type="dxa"/>
        <w:tblLayout w:type="fixed"/>
        <w:tblCellMar>
          <w:left w:w="70" w:type="dxa"/>
          <w:right w:w="70" w:type="dxa"/>
        </w:tblCellMar>
        <w:tblLook w:val="04A0" w:firstRow="1" w:lastRow="0" w:firstColumn="1" w:lastColumn="0" w:noHBand="0" w:noVBand="1"/>
      </w:tblPr>
      <w:tblGrid>
        <w:gridCol w:w="493"/>
        <w:gridCol w:w="1697"/>
        <w:gridCol w:w="2126"/>
        <w:gridCol w:w="2126"/>
        <w:gridCol w:w="1276"/>
        <w:gridCol w:w="3543"/>
        <w:gridCol w:w="2233"/>
      </w:tblGrid>
      <w:tr w:rsidR="001D3C29" w:rsidRPr="001D3C29" w:rsidTr="00844246">
        <w:trPr>
          <w:trHeight w:val="106"/>
        </w:trPr>
        <w:tc>
          <w:tcPr>
            <w:tcW w:w="13494" w:type="dxa"/>
            <w:gridSpan w:val="7"/>
            <w:tcBorders>
              <w:top w:val="nil"/>
              <w:left w:val="nil"/>
              <w:bottom w:val="nil"/>
            </w:tcBorders>
          </w:tcPr>
          <w:p w:rsidR="001D3C29" w:rsidRDefault="001D3C29" w:rsidP="001D3C29">
            <w:pPr>
              <w:widowControl/>
              <w:suppressAutoHyphens w:val="0"/>
              <w:rPr>
                <w:rFonts w:ascii="Arial" w:eastAsia="Times New Roman" w:hAnsi="Arial" w:cs="Arial"/>
                <w:bCs/>
                <w:kern w:val="0"/>
                <w:sz w:val="20"/>
                <w:szCs w:val="20"/>
                <w:lang w:val="es-ES" w:eastAsia="es-CO"/>
              </w:rPr>
            </w:pPr>
            <w:r w:rsidRPr="001D3C29">
              <w:rPr>
                <w:rFonts w:ascii="Arial" w:eastAsia="Times New Roman" w:hAnsi="Arial" w:cs="Arial"/>
                <w:b/>
                <w:bCs/>
                <w:kern w:val="0"/>
                <w:sz w:val="20"/>
                <w:szCs w:val="20"/>
                <w:lang w:val="es-ES" w:eastAsia="es-CO"/>
              </w:rPr>
              <w:lastRenderedPageBreak/>
              <w:t>Tabla 3.</w:t>
            </w:r>
            <w:r w:rsidRPr="001D3C29">
              <w:rPr>
                <w:rFonts w:ascii="Arial" w:eastAsia="Times New Roman" w:hAnsi="Arial" w:cs="Arial"/>
                <w:bCs/>
                <w:kern w:val="0"/>
                <w:sz w:val="20"/>
                <w:szCs w:val="20"/>
                <w:lang w:val="es-ES" w:eastAsia="es-CO"/>
              </w:rPr>
              <w:t xml:space="preserve"> Niveles máximos de Plomo en otras sustancias.</w:t>
            </w:r>
          </w:p>
          <w:p w:rsidR="003D6A1A" w:rsidRPr="001D3C29" w:rsidRDefault="003D6A1A" w:rsidP="001D3C29">
            <w:pPr>
              <w:widowControl/>
              <w:suppressAutoHyphens w:val="0"/>
              <w:rPr>
                <w:rFonts w:ascii="Arial" w:eastAsia="Times New Roman" w:hAnsi="Arial" w:cs="Arial"/>
                <w:b/>
                <w:bCs/>
                <w:kern w:val="0"/>
                <w:sz w:val="20"/>
                <w:szCs w:val="20"/>
                <w:lang w:val="es-ES" w:eastAsia="es-CO"/>
              </w:rPr>
            </w:pPr>
          </w:p>
        </w:tc>
      </w:tr>
      <w:tr w:rsidR="001D3C29" w:rsidRPr="001D3C29" w:rsidTr="00844246">
        <w:trPr>
          <w:trHeight w:val="487"/>
        </w:trPr>
        <w:tc>
          <w:tcPr>
            <w:tcW w:w="493" w:type="dxa"/>
            <w:tcBorders>
              <w:top w:val="single" w:sz="4" w:space="0" w:color="auto"/>
              <w:left w:val="single" w:sz="4" w:space="0" w:color="auto"/>
              <w:bottom w:val="single" w:sz="4" w:space="0" w:color="auto"/>
              <w:right w:val="single" w:sz="4" w:space="0" w:color="auto"/>
            </w:tcBorders>
            <w:vAlign w:val="center"/>
          </w:tcPr>
          <w:p w:rsidR="001D3C29" w:rsidRPr="001D3C29" w:rsidRDefault="001D3C29" w:rsidP="001D3C29">
            <w:pPr>
              <w:widowControl/>
              <w:suppressAutoHyphens w:val="0"/>
              <w:rPr>
                <w:rFonts w:ascii="Arial" w:eastAsia="Times New Roman" w:hAnsi="Arial" w:cs="Arial"/>
                <w:kern w:val="0"/>
                <w:sz w:val="20"/>
                <w:lang w:val="es-ES" w:eastAsia="es-CO"/>
              </w:rPr>
            </w:pPr>
            <w:r w:rsidRPr="001D3C29">
              <w:rPr>
                <w:rFonts w:ascii="Arial" w:eastAsia="Times New Roman" w:hAnsi="Arial" w:cs="Arial"/>
                <w:b/>
                <w:bCs/>
                <w:kern w:val="0"/>
                <w:sz w:val="20"/>
                <w:lang w:val="es-ES" w:eastAsia="es-CO"/>
              </w:rPr>
              <w:t> </w:t>
            </w:r>
          </w:p>
        </w:tc>
        <w:tc>
          <w:tcPr>
            <w:tcW w:w="1697" w:type="dxa"/>
            <w:tcBorders>
              <w:top w:val="single" w:sz="4" w:space="0" w:color="auto"/>
              <w:left w:val="single" w:sz="4" w:space="0" w:color="auto"/>
              <w:bottom w:val="single" w:sz="4" w:space="0" w:color="auto"/>
              <w:right w:val="single" w:sz="4" w:space="0" w:color="auto"/>
            </w:tcBorders>
            <w:shd w:val="clear" w:color="auto" w:fill="auto"/>
            <w:vAlign w:val="center"/>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b/>
                <w:bCs/>
                <w:kern w:val="0"/>
                <w:sz w:val="20"/>
                <w:lang w:val="es-ES" w:eastAsia="es-CO"/>
              </w:rPr>
              <w:t>País</w:t>
            </w:r>
          </w:p>
        </w:tc>
        <w:tc>
          <w:tcPr>
            <w:tcW w:w="2126" w:type="dxa"/>
            <w:tcBorders>
              <w:top w:val="single" w:sz="4" w:space="0" w:color="auto"/>
              <w:left w:val="nil"/>
              <w:bottom w:val="single" w:sz="4" w:space="0" w:color="auto"/>
              <w:right w:val="single" w:sz="4" w:space="0" w:color="auto"/>
            </w:tcBorders>
            <w:shd w:val="clear" w:color="auto" w:fill="auto"/>
            <w:vAlign w:val="center"/>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b/>
                <w:bCs/>
                <w:kern w:val="0"/>
                <w:sz w:val="20"/>
                <w:lang w:val="es-ES" w:eastAsia="es-CO"/>
              </w:rPr>
              <w:t>Nivel</w:t>
            </w:r>
          </w:p>
        </w:tc>
        <w:tc>
          <w:tcPr>
            <w:tcW w:w="2126" w:type="dxa"/>
            <w:tcBorders>
              <w:top w:val="single" w:sz="4" w:space="0" w:color="auto"/>
              <w:left w:val="nil"/>
              <w:bottom w:val="single" w:sz="4" w:space="0" w:color="auto"/>
              <w:right w:val="single" w:sz="4" w:space="0" w:color="auto"/>
            </w:tcBorders>
            <w:shd w:val="clear" w:color="auto" w:fill="auto"/>
            <w:vAlign w:val="center"/>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b/>
                <w:bCs/>
                <w:kern w:val="0"/>
                <w:sz w:val="20"/>
                <w:lang w:val="es-ES" w:eastAsia="es-CO"/>
              </w:rPr>
              <w:t>Matriz</w:t>
            </w:r>
          </w:p>
        </w:tc>
        <w:tc>
          <w:tcPr>
            <w:tcW w:w="1276" w:type="dxa"/>
            <w:tcBorders>
              <w:top w:val="single" w:sz="4" w:space="0" w:color="auto"/>
              <w:left w:val="nil"/>
              <w:bottom w:val="single" w:sz="4" w:space="0" w:color="auto"/>
              <w:right w:val="single" w:sz="4" w:space="0" w:color="auto"/>
            </w:tcBorders>
            <w:shd w:val="clear" w:color="auto" w:fill="auto"/>
            <w:vAlign w:val="center"/>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b/>
                <w:bCs/>
                <w:kern w:val="0"/>
                <w:sz w:val="20"/>
                <w:lang w:val="es-ES" w:eastAsia="es-CO"/>
              </w:rPr>
              <w:t>Agencia</w:t>
            </w:r>
          </w:p>
        </w:tc>
        <w:tc>
          <w:tcPr>
            <w:tcW w:w="3543" w:type="dxa"/>
            <w:tcBorders>
              <w:top w:val="single" w:sz="4" w:space="0" w:color="auto"/>
              <w:left w:val="nil"/>
              <w:bottom w:val="single" w:sz="4" w:space="0" w:color="auto"/>
              <w:right w:val="single" w:sz="4" w:space="0" w:color="auto"/>
            </w:tcBorders>
            <w:shd w:val="clear" w:color="auto" w:fill="auto"/>
            <w:vAlign w:val="center"/>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b/>
                <w:bCs/>
                <w:kern w:val="0"/>
                <w:sz w:val="20"/>
                <w:lang w:val="es-ES" w:eastAsia="es-CO"/>
              </w:rPr>
              <w:t>Observación</w:t>
            </w:r>
          </w:p>
        </w:tc>
        <w:tc>
          <w:tcPr>
            <w:tcW w:w="2233" w:type="dxa"/>
            <w:tcBorders>
              <w:top w:val="single" w:sz="4" w:space="0" w:color="auto"/>
              <w:left w:val="single" w:sz="4" w:space="0" w:color="auto"/>
              <w:bottom w:val="single" w:sz="4" w:space="0" w:color="auto"/>
              <w:right w:val="single" w:sz="4" w:space="0" w:color="auto"/>
            </w:tcBorders>
            <w:shd w:val="clear" w:color="auto" w:fill="auto"/>
            <w:vAlign w:val="center"/>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b/>
                <w:bCs/>
                <w:kern w:val="0"/>
                <w:sz w:val="20"/>
                <w:lang w:val="es-ES" w:eastAsia="es-ES"/>
              </w:rPr>
              <w:t>Referencia</w:t>
            </w:r>
          </w:p>
        </w:tc>
      </w:tr>
      <w:tr w:rsidR="001D3C29" w:rsidRPr="001D3C29" w:rsidTr="00844246">
        <w:trPr>
          <w:trHeight w:val="766"/>
        </w:trPr>
        <w:tc>
          <w:tcPr>
            <w:tcW w:w="493" w:type="dxa"/>
            <w:tcBorders>
              <w:top w:val="single" w:sz="4" w:space="0" w:color="auto"/>
              <w:left w:val="single" w:sz="4" w:space="0" w:color="auto"/>
              <w:bottom w:val="single" w:sz="4" w:space="0" w:color="auto"/>
              <w:right w:val="single" w:sz="4" w:space="0" w:color="auto"/>
            </w:tcBorders>
            <w:vAlign w:val="center"/>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lang w:val="es-ES" w:eastAsia="es-CO"/>
              </w:rPr>
              <w:t>1</w:t>
            </w:r>
          </w:p>
        </w:tc>
        <w:tc>
          <w:tcPr>
            <w:tcW w:w="16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Estados Unidos</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50 µg/m³</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Aire (lugar de trabajo)</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OSHA</w:t>
            </w:r>
          </w:p>
        </w:tc>
        <w:tc>
          <w:tcPr>
            <w:tcW w:w="3543" w:type="dxa"/>
            <w:tcBorders>
              <w:top w:val="single" w:sz="4" w:space="0" w:color="auto"/>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Regulación; Límite de Exposición Permisible (PEL) de 8 horas en promedio (Industria general)</w:t>
            </w:r>
          </w:p>
        </w:tc>
        <w:tc>
          <w:tcPr>
            <w:tcW w:w="22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http://www.revistasaludpublica.uchile.cl/index.php/RCSP/article/viewFile/2074/1919</w:t>
            </w:r>
          </w:p>
        </w:tc>
      </w:tr>
      <w:tr w:rsidR="001D3C29" w:rsidRPr="001D3C29" w:rsidTr="00844246">
        <w:trPr>
          <w:trHeight w:val="382"/>
        </w:trPr>
        <w:tc>
          <w:tcPr>
            <w:tcW w:w="493" w:type="dxa"/>
            <w:tcBorders>
              <w:top w:val="nil"/>
              <w:left w:val="single" w:sz="4" w:space="0" w:color="auto"/>
              <w:bottom w:val="single" w:sz="4" w:space="0" w:color="auto"/>
              <w:right w:val="single" w:sz="4" w:space="0" w:color="auto"/>
            </w:tcBorders>
            <w:vAlign w:val="center"/>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lang w:val="es-ES" w:eastAsia="es-CO"/>
              </w:rPr>
              <w:t>2</w:t>
            </w:r>
          </w:p>
        </w:tc>
        <w:tc>
          <w:tcPr>
            <w:tcW w:w="1697" w:type="dxa"/>
            <w:tcBorders>
              <w:top w:val="nil"/>
              <w:left w:val="single" w:sz="4" w:space="0" w:color="auto"/>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Estados Unidos</w:t>
            </w:r>
          </w:p>
        </w:tc>
        <w:tc>
          <w:tcPr>
            <w:tcW w:w="2126"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30 µg/m³</w:t>
            </w:r>
          </w:p>
        </w:tc>
        <w:tc>
          <w:tcPr>
            <w:tcW w:w="2126"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Aire (lugar de trabajo)</w:t>
            </w:r>
          </w:p>
        </w:tc>
        <w:tc>
          <w:tcPr>
            <w:tcW w:w="1276"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OSHA</w:t>
            </w:r>
          </w:p>
        </w:tc>
        <w:tc>
          <w:tcPr>
            <w:tcW w:w="354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Nivel de acción</w:t>
            </w:r>
          </w:p>
        </w:tc>
        <w:tc>
          <w:tcPr>
            <w:tcW w:w="2233" w:type="dxa"/>
            <w:vMerge/>
            <w:tcBorders>
              <w:top w:val="single" w:sz="4" w:space="0" w:color="auto"/>
              <w:left w:val="single" w:sz="4" w:space="0" w:color="auto"/>
              <w:bottom w:val="single" w:sz="4" w:space="0" w:color="auto"/>
              <w:right w:val="single" w:sz="4" w:space="0" w:color="auto"/>
            </w:tcBorders>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p>
        </w:tc>
      </w:tr>
      <w:tr w:rsidR="001D3C29" w:rsidRPr="001D3C29" w:rsidTr="00844246">
        <w:trPr>
          <w:trHeight w:val="478"/>
        </w:trPr>
        <w:tc>
          <w:tcPr>
            <w:tcW w:w="493" w:type="dxa"/>
            <w:tcBorders>
              <w:top w:val="nil"/>
              <w:left w:val="single" w:sz="4" w:space="0" w:color="auto"/>
              <w:bottom w:val="single" w:sz="4" w:space="0" w:color="auto"/>
              <w:right w:val="single" w:sz="4" w:space="0" w:color="auto"/>
            </w:tcBorders>
            <w:vAlign w:val="center"/>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lang w:val="es-ES" w:eastAsia="es-CO"/>
              </w:rPr>
              <w:t>3</w:t>
            </w:r>
          </w:p>
        </w:tc>
        <w:tc>
          <w:tcPr>
            <w:tcW w:w="1697" w:type="dxa"/>
            <w:tcBorders>
              <w:top w:val="nil"/>
              <w:left w:val="single" w:sz="4" w:space="0" w:color="auto"/>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Estados Unidos</w:t>
            </w:r>
          </w:p>
        </w:tc>
        <w:tc>
          <w:tcPr>
            <w:tcW w:w="2126"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100 µg/m³</w:t>
            </w:r>
          </w:p>
        </w:tc>
        <w:tc>
          <w:tcPr>
            <w:tcW w:w="2126"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Aire (lugar de trabajo)</w:t>
            </w:r>
          </w:p>
        </w:tc>
        <w:tc>
          <w:tcPr>
            <w:tcW w:w="1276"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CDC/NIOSH</w:t>
            </w:r>
          </w:p>
        </w:tc>
        <w:tc>
          <w:tcPr>
            <w:tcW w:w="354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Límite de Exposición Recomendado, REL (no-ejecutable)</w:t>
            </w:r>
          </w:p>
        </w:tc>
        <w:tc>
          <w:tcPr>
            <w:tcW w:w="2233" w:type="dxa"/>
            <w:vMerge/>
            <w:tcBorders>
              <w:top w:val="single" w:sz="4" w:space="0" w:color="auto"/>
              <w:left w:val="single" w:sz="4" w:space="0" w:color="auto"/>
              <w:bottom w:val="single" w:sz="4" w:space="0" w:color="auto"/>
              <w:right w:val="single" w:sz="4" w:space="0" w:color="auto"/>
            </w:tcBorders>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p>
        </w:tc>
      </w:tr>
      <w:tr w:rsidR="001D3C29" w:rsidRPr="001D3C29" w:rsidTr="00844246">
        <w:trPr>
          <w:trHeight w:val="670"/>
        </w:trPr>
        <w:tc>
          <w:tcPr>
            <w:tcW w:w="493" w:type="dxa"/>
            <w:tcBorders>
              <w:top w:val="nil"/>
              <w:left w:val="single" w:sz="4" w:space="0" w:color="auto"/>
              <w:bottom w:val="single" w:sz="4" w:space="0" w:color="auto"/>
              <w:right w:val="single" w:sz="4" w:space="0" w:color="auto"/>
            </w:tcBorders>
            <w:vAlign w:val="center"/>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lang w:val="es-ES" w:eastAsia="es-CO"/>
              </w:rPr>
              <w:t>4</w:t>
            </w:r>
          </w:p>
        </w:tc>
        <w:tc>
          <w:tcPr>
            <w:tcW w:w="1697" w:type="dxa"/>
            <w:tcBorders>
              <w:top w:val="nil"/>
              <w:left w:val="single" w:sz="4" w:space="0" w:color="auto"/>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Estados Unidos</w:t>
            </w:r>
          </w:p>
        </w:tc>
        <w:tc>
          <w:tcPr>
            <w:tcW w:w="2126"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0.15 µg/m³</w:t>
            </w:r>
          </w:p>
        </w:tc>
        <w:tc>
          <w:tcPr>
            <w:tcW w:w="2126"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Aire (ambiente)</w:t>
            </w:r>
          </w:p>
        </w:tc>
        <w:tc>
          <w:tcPr>
            <w:tcW w:w="1276"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EPA</w:t>
            </w:r>
          </w:p>
        </w:tc>
        <w:tc>
          <w:tcPr>
            <w:tcW w:w="354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Regulación; Estándar Nacional de Calidad de Aire Ambiental, NAAQS; promedio de 3 meses</w:t>
            </w:r>
          </w:p>
        </w:tc>
        <w:tc>
          <w:tcPr>
            <w:tcW w:w="2233" w:type="dxa"/>
            <w:vMerge/>
            <w:tcBorders>
              <w:top w:val="single" w:sz="4" w:space="0" w:color="auto"/>
              <w:left w:val="single" w:sz="4" w:space="0" w:color="auto"/>
              <w:bottom w:val="single" w:sz="4" w:space="0" w:color="auto"/>
              <w:right w:val="single" w:sz="4" w:space="0" w:color="auto"/>
            </w:tcBorders>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p>
        </w:tc>
      </w:tr>
      <w:tr w:rsidR="001D3C29" w:rsidRPr="001D3C29" w:rsidTr="00844246">
        <w:trPr>
          <w:trHeight w:val="287"/>
        </w:trPr>
        <w:tc>
          <w:tcPr>
            <w:tcW w:w="493" w:type="dxa"/>
            <w:tcBorders>
              <w:top w:val="nil"/>
              <w:left w:val="single" w:sz="4" w:space="0" w:color="auto"/>
              <w:bottom w:val="single" w:sz="4" w:space="0" w:color="auto"/>
              <w:right w:val="single" w:sz="4" w:space="0" w:color="auto"/>
            </w:tcBorders>
            <w:vAlign w:val="center"/>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lang w:val="es-ES" w:eastAsia="es-CO"/>
              </w:rPr>
              <w:t>5</w:t>
            </w:r>
          </w:p>
        </w:tc>
        <w:tc>
          <w:tcPr>
            <w:tcW w:w="1697" w:type="dxa"/>
            <w:tcBorders>
              <w:top w:val="nil"/>
              <w:left w:val="single" w:sz="4" w:space="0" w:color="auto"/>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Estados Unidos</w:t>
            </w:r>
          </w:p>
        </w:tc>
        <w:tc>
          <w:tcPr>
            <w:tcW w:w="2126"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400 ppm (áreas de juego)</w:t>
            </w:r>
          </w:p>
        </w:tc>
        <w:tc>
          <w:tcPr>
            <w:tcW w:w="2126"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Suelo (residencial)</w:t>
            </w:r>
          </w:p>
        </w:tc>
        <w:tc>
          <w:tcPr>
            <w:tcW w:w="1276"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EPA</w:t>
            </w:r>
          </w:p>
        </w:tc>
        <w:tc>
          <w:tcPr>
            <w:tcW w:w="354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 </w:t>
            </w:r>
          </w:p>
        </w:tc>
        <w:tc>
          <w:tcPr>
            <w:tcW w:w="2233" w:type="dxa"/>
            <w:vMerge/>
            <w:tcBorders>
              <w:top w:val="single" w:sz="4" w:space="0" w:color="auto"/>
              <w:left w:val="single" w:sz="4" w:space="0" w:color="auto"/>
              <w:bottom w:val="single" w:sz="4" w:space="0" w:color="auto"/>
              <w:right w:val="single" w:sz="4" w:space="0" w:color="auto"/>
            </w:tcBorders>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p>
        </w:tc>
      </w:tr>
      <w:tr w:rsidR="001D3C29" w:rsidRPr="001D3C29" w:rsidTr="00844246">
        <w:trPr>
          <w:trHeight w:val="477"/>
        </w:trPr>
        <w:tc>
          <w:tcPr>
            <w:tcW w:w="493" w:type="dxa"/>
            <w:tcBorders>
              <w:top w:val="nil"/>
              <w:left w:val="single" w:sz="4" w:space="0" w:color="auto"/>
              <w:bottom w:val="single" w:sz="4" w:space="0" w:color="auto"/>
              <w:right w:val="single" w:sz="4" w:space="0" w:color="auto"/>
            </w:tcBorders>
            <w:vAlign w:val="center"/>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lang w:val="es-ES" w:eastAsia="es-CO"/>
              </w:rPr>
              <w:t>6</w:t>
            </w:r>
          </w:p>
        </w:tc>
        <w:tc>
          <w:tcPr>
            <w:tcW w:w="1697" w:type="dxa"/>
            <w:tcBorders>
              <w:top w:val="nil"/>
              <w:left w:val="single" w:sz="4" w:space="0" w:color="auto"/>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Estados Unidos</w:t>
            </w:r>
          </w:p>
        </w:tc>
        <w:tc>
          <w:tcPr>
            <w:tcW w:w="2126"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1200 ppm (no juego)</w:t>
            </w:r>
          </w:p>
        </w:tc>
        <w:tc>
          <w:tcPr>
            <w:tcW w:w="2126"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Suelo (residencial)</w:t>
            </w:r>
          </w:p>
        </w:tc>
        <w:tc>
          <w:tcPr>
            <w:tcW w:w="1276"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EPA</w:t>
            </w:r>
          </w:p>
        </w:tc>
        <w:tc>
          <w:tcPr>
            <w:tcW w:w="354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 </w:t>
            </w:r>
          </w:p>
        </w:tc>
        <w:tc>
          <w:tcPr>
            <w:tcW w:w="2233" w:type="dxa"/>
            <w:vMerge/>
            <w:tcBorders>
              <w:top w:val="single" w:sz="4" w:space="0" w:color="auto"/>
              <w:left w:val="single" w:sz="4" w:space="0" w:color="auto"/>
              <w:bottom w:val="single" w:sz="4" w:space="0" w:color="auto"/>
              <w:right w:val="single" w:sz="4" w:space="0" w:color="auto"/>
            </w:tcBorders>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p>
        </w:tc>
      </w:tr>
      <w:tr w:rsidR="001D3C29" w:rsidRPr="001D3C29" w:rsidTr="00844246">
        <w:trPr>
          <w:trHeight w:val="382"/>
        </w:trPr>
        <w:tc>
          <w:tcPr>
            <w:tcW w:w="493" w:type="dxa"/>
            <w:tcBorders>
              <w:top w:val="nil"/>
              <w:left w:val="single" w:sz="4" w:space="0" w:color="auto"/>
              <w:bottom w:val="single" w:sz="4" w:space="0" w:color="auto"/>
              <w:right w:val="single" w:sz="4" w:space="0" w:color="auto"/>
            </w:tcBorders>
            <w:vAlign w:val="center"/>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lang w:val="es-ES" w:eastAsia="es-CO"/>
              </w:rPr>
              <w:t>7</w:t>
            </w:r>
          </w:p>
        </w:tc>
        <w:tc>
          <w:tcPr>
            <w:tcW w:w="1697" w:type="dxa"/>
            <w:tcBorders>
              <w:top w:val="nil"/>
              <w:left w:val="single" w:sz="4" w:space="0" w:color="auto"/>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Estados Unidos</w:t>
            </w:r>
          </w:p>
        </w:tc>
        <w:tc>
          <w:tcPr>
            <w:tcW w:w="2126"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15 µg/L</w:t>
            </w:r>
          </w:p>
        </w:tc>
        <w:tc>
          <w:tcPr>
            <w:tcW w:w="2126"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Agua (de bebida)</w:t>
            </w:r>
          </w:p>
        </w:tc>
        <w:tc>
          <w:tcPr>
            <w:tcW w:w="1276"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EPA</w:t>
            </w:r>
          </w:p>
        </w:tc>
        <w:tc>
          <w:tcPr>
            <w:tcW w:w="354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Nivel de acción para suministros públicos Objetivo No-ejecutable</w:t>
            </w:r>
          </w:p>
        </w:tc>
        <w:tc>
          <w:tcPr>
            <w:tcW w:w="2233" w:type="dxa"/>
            <w:vMerge/>
            <w:tcBorders>
              <w:top w:val="single" w:sz="4" w:space="0" w:color="auto"/>
              <w:left w:val="single" w:sz="4" w:space="0" w:color="auto"/>
              <w:bottom w:val="single" w:sz="4" w:space="0" w:color="auto"/>
              <w:right w:val="single" w:sz="4" w:space="0" w:color="auto"/>
            </w:tcBorders>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p>
        </w:tc>
      </w:tr>
      <w:tr w:rsidR="001D3C29" w:rsidRPr="001D3C29" w:rsidTr="00844246">
        <w:trPr>
          <w:trHeight w:val="382"/>
        </w:trPr>
        <w:tc>
          <w:tcPr>
            <w:tcW w:w="493" w:type="dxa"/>
            <w:tcBorders>
              <w:top w:val="nil"/>
              <w:left w:val="single" w:sz="4" w:space="0" w:color="auto"/>
              <w:bottom w:val="single" w:sz="4" w:space="0" w:color="auto"/>
              <w:right w:val="single" w:sz="4" w:space="0" w:color="auto"/>
            </w:tcBorders>
            <w:vAlign w:val="center"/>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lang w:val="es-ES" w:eastAsia="es-CO"/>
              </w:rPr>
              <w:t>8</w:t>
            </w:r>
          </w:p>
        </w:tc>
        <w:tc>
          <w:tcPr>
            <w:tcW w:w="1697" w:type="dxa"/>
            <w:tcBorders>
              <w:top w:val="nil"/>
              <w:left w:val="single" w:sz="4" w:space="0" w:color="auto"/>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Estados Unidos</w:t>
            </w:r>
          </w:p>
        </w:tc>
        <w:tc>
          <w:tcPr>
            <w:tcW w:w="2126"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0 µg/L</w:t>
            </w:r>
          </w:p>
        </w:tc>
        <w:tc>
          <w:tcPr>
            <w:tcW w:w="2126"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Agua (de bebida)</w:t>
            </w:r>
          </w:p>
        </w:tc>
        <w:tc>
          <w:tcPr>
            <w:tcW w:w="1276"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EPA</w:t>
            </w:r>
          </w:p>
        </w:tc>
        <w:tc>
          <w:tcPr>
            <w:tcW w:w="354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Objetivo de Nivel Máximo Contaminante, MCLG</w:t>
            </w:r>
          </w:p>
        </w:tc>
        <w:tc>
          <w:tcPr>
            <w:tcW w:w="2233" w:type="dxa"/>
            <w:vMerge/>
            <w:tcBorders>
              <w:top w:val="single" w:sz="4" w:space="0" w:color="auto"/>
              <w:left w:val="single" w:sz="4" w:space="0" w:color="auto"/>
              <w:bottom w:val="single" w:sz="4" w:space="0" w:color="auto"/>
              <w:right w:val="single" w:sz="4" w:space="0" w:color="auto"/>
            </w:tcBorders>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p>
        </w:tc>
      </w:tr>
      <w:tr w:rsidR="001D3C29" w:rsidRPr="001D3C29" w:rsidTr="00844246">
        <w:trPr>
          <w:trHeight w:val="643"/>
        </w:trPr>
        <w:tc>
          <w:tcPr>
            <w:tcW w:w="493" w:type="dxa"/>
            <w:tcBorders>
              <w:top w:val="nil"/>
              <w:left w:val="single" w:sz="4" w:space="0" w:color="auto"/>
              <w:bottom w:val="single" w:sz="4" w:space="0" w:color="auto"/>
              <w:right w:val="single" w:sz="4" w:space="0" w:color="auto"/>
            </w:tcBorders>
            <w:vAlign w:val="center"/>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lang w:val="es-ES" w:eastAsia="es-CO"/>
              </w:rPr>
              <w:t>9</w:t>
            </w:r>
          </w:p>
        </w:tc>
        <w:tc>
          <w:tcPr>
            <w:tcW w:w="1697" w:type="dxa"/>
            <w:tcBorders>
              <w:top w:val="nil"/>
              <w:left w:val="single" w:sz="4" w:space="0" w:color="auto"/>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Estados Unidos</w:t>
            </w:r>
          </w:p>
        </w:tc>
        <w:tc>
          <w:tcPr>
            <w:tcW w:w="2126"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Varios</w:t>
            </w:r>
          </w:p>
        </w:tc>
        <w:tc>
          <w:tcPr>
            <w:tcW w:w="2126"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Comida</w:t>
            </w:r>
          </w:p>
        </w:tc>
        <w:tc>
          <w:tcPr>
            <w:tcW w:w="1276"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FDA</w:t>
            </w:r>
          </w:p>
        </w:tc>
        <w:tc>
          <w:tcPr>
            <w:tcW w:w="3543" w:type="dxa"/>
            <w:tcBorders>
              <w:top w:val="nil"/>
              <w:left w:val="nil"/>
              <w:bottom w:val="single" w:sz="4" w:space="0" w:color="auto"/>
              <w:right w:val="single" w:sz="4" w:space="0" w:color="auto"/>
            </w:tcBorders>
            <w:shd w:val="clear" w:color="auto" w:fill="auto"/>
            <w:vAlign w:val="center"/>
            <w:hideMark/>
          </w:tcPr>
          <w:p w:rsidR="001D3C29" w:rsidRPr="001D3C29" w:rsidRDefault="001D3C29" w:rsidP="001D3C29">
            <w:pPr>
              <w:widowControl/>
              <w:suppressAutoHyphens w:val="0"/>
              <w:jc w:val="center"/>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Niveles de acción para varios tipos de comida</w:t>
            </w:r>
          </w:p>
        </w:tc>
        <w:tc>
          <w:tcPr>
            <w:tcW w:w="2233" w:type="dxa"/>
            <w:vMerge/>
            <w:tcBorders>
              <w:top w:val="single" w:sz="4" w:space="0" w:color="auto"/>
              <w:left w:val="single" w:sz="4" w:space="0" w:color="auto"/>
              <w:right w:val="single" w:sz="4" w:space="0" w:color="auto"/>
            </w:tcBorders>
            <w:vAlign w:val="center"/>
            <w:hideMark/>
          </w:tcPr>
          <w:p w:rsidR="001D3C29" w:rsidRPr="001D3C29" w:rsidRDefault="001D3C29" w:rsidP="001D3C29">
            <w:pPr>
              <w:widowControl/>
              <w:suppressAutoHyphens w:val="0"/>
              <w:rPr>
                <w:rFonts w:ascii="Arial" w:eastAsia="Times New Roman" w:hAnsi="Arial" w:cs="Arial"/>
                <w:kern w:val="0"/>
                <w:sz w:val="20"/>
                <w:szCs w:val="20"/>
                <w:lang w:val="es-ES" w:eastAsia="es-CO"/>
              </w:rPr>
            </w:pPr>
          </w:p>
        </w:tc>
      </w:tr>
      <w:tr w:rsidR="001D3C29" w:rsidRPr="001D3C29" w:rsidTr="00844246">
        <w:trPr>
          <w:trHeight w:val="287"/>
        </w:trPr>
        <w:tc>
          <w:tcPr>
            <w:tcW w:w="493" w:type="dxa"/>
            <w:tcBorders>
              <w:top w:val="single" w:sz="4" w:space="0" w:color="auto"/>
              <w:left w:val="single" w:sz="4" w:space="0" w:color="auto"/>
              <w:bottom w:val="single" w:sz="4" w:space="0" w:color="auto"/>
              <w:right w:val="single" w:sz="4" w:space="0" w:color="auto"/>
            </w:tcBorders>
            <w:vAlign w:val="center"/>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lang w:val="es-ES" w:eastAsia="es-CO"/>
              </w:rPr>
              <w:t>10</w:t>
            </w:r>
          </w:p>
        </w:tc>
        <w:tc>
          <w:tcPr>
            <w:tcW w:w="1697" w:type="dxa"/>
            <w:tcBorders>
              <w:top w:val="single" w:sz="4" w:space="0" w:color="auto"/>
              <w:left w:val="single" w:sz="4" w:space="0" w:color="auto"/>
              <w:bottom w:val="single" w:sz="4" w:space="0" w:color="auto"/>
              <w:right w:val="single" w:sz="4" w:space="0" w:color="auto"/>
            </w:tcBorders>
            <w:shd w:val="clear" w:color="auto" w:fill="auto"/>
            <w:vAlign w:val="center"/>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0"/>
                <w:szCs w:val="20"/>
                <w:lang w:val="es-ES" w:eastAsia="es-CO"/>
              </w:rPr>
              <w:t>Estados Unidos</w:t>
            </w:r>
          </w:p>
        </w:tc>
        <w:tc>
          <w:tcPr>
            <w:tcW w:w="2126" w:type="dxa"/>
            <w:tcBorders>
              <w:top w:val="single" w:sz="4" w:space="0" w:color="auto"/>
              <w:left w:val="nil"/>
              <w:bottom w:val="single" w:sz="4" w:space="0" w:color="auto"/>
              <w:right w:val="single" w:sz="4" w:space="0" w:color="auto"/>
            </w:tcBorders>
            <w:shd w:val="clear" w:color="auto" w:fill="auto"/>
            <w:vAlign w:val="center"/>
          </w:tcPr>
          <w:p w:rsidR="001D3C29" w:rsidRPr="001D3C29" w:rsidRDefault="001D3C29" w:rsidP="001D3C29">
            <w:pPr>
              <w:widowControl/>
              <w:suppressAutoHyphens w:val="0"/>
              <w:jc w:val="center"/>
              <w:rPr>
                <w:rFonts w:ascii="Arial" w:eastAsia="Times New Roman" w:hAnsi="Arial" w:cs="Arial"/>
                <w:kern w:val="0"/>
                <w:sz w:val="20"/>
                <w:szCs w:val="20"/>
                <w:lang w:val="es-ES" w:eastAsia="es-ES"/>
              </w:rPr>
            </w:pPr>
            <w:r w:rsidRPr="001D3C29">
              <w:rPr>
                <w:rFonts w:ascii="Arial" w:eastAsia="Times New Roman" w:hAnsi="Arial" w:cs="Arial"/>
                <w:kern w:val="0"/>
                <w:sz w:val="20"/>
                <w:szCs w:val="20"/>
                <w:lang w:val="es-ES" w:eastAsia="es-ES"/>
              </w:rPr>
              <w:t>600 ppm (0.06%)</w:t>
            </w:r>
          </w:p>
        </w:tc>
        <w:tc>
          <w:tcPr>
            <w:tcW w:w="2126" w:type="dxa"/>
            <w:tcBorders>
              <w:top w:val="single" w:sz="4" w:space="0" w:color="auto"/>
              <w:left w:val="nil"/>
              <w:bottom w:val="single" w:sz="4" w:space="0" w:color="auto"/>
              <w:right w:val="single" w:sz="4" w:space="0" w:color="auto"/>
            </w:tcBorders>
            <w:shd w:val="clear" w:color="auto" w:fill="auto"/>
            <w:vAlign w:val="center"/>
          </w:tcPr>
          <w:p w:rsidR="001D3C29" w:rsidRPr="001D3C29" w:rsidRDefault="001D3C29" w:rsidP="001D3C29">
            <w:pPr>
              <w:widowControl/>
              <w:suppressAutoHyphens w:val="0"/>
              <w:jc w:val="center"/>
              <w:rPr>
                <w:rFonts w:ascii="Arial" w:eastAsia="Times New Roman" w:hAnsi="Arial" w:cs="Arial"/>
                <w:kern w:val="0"/>
                <w:sz w:val="20"/>
                <w:szCs w:val="20"/>
                <w:lang w:val="es-ES" w:eastAsia="es-ES"/>
              </w:rPr>
            </w:pPr>
            <w:r w:rsidRPr="001D3C29">
              <w:rPr>
                <w:rFonts w:ascii="Arial" w:eastAsia="Times New Roman" w:hAnsi="Arial" w:cs="Arial"/>
                <w:kern w:val="0"/>
                <w:sz w:val="20"/>
                <w:szCs w:val="20"/>
                <w:lang w:val="es-ES" w:eastAsia="es-ES"/>
              </w:rPr>
              <w:t>Pintura</w:t>
            </w:r>
          </w:p>
        </w:tc>
        <w:tc>
          <w:tcPr>
            <w:tcW w:w="1276" w:type="dxa"/>
            <w:tcBorders>
              <w:top w:val="single" w:sz="4" w:space="0" w:color="auto"/>
              <w:left w:val="nil"/>
              <w:bottom w:val="single" w:sz="4" w:space="0" w:color="auto"/>
              <w:right w:val="single" w:sz="4" w:space="0" w:color="auto"/>
            </w:tcBorders>
            <w:shd w:val="clear" w:color="auto" w:fill="auto"/>
            <w:vAlign w:val="center"/>
          </w:tcPr>
          <w:p w:rsidR="001D3C29" w:rsidRPr="001D3C29" w:rsidRDefault="001D3C29" w:rsidP="001D3C29">
            <w:pPr>
              <w:widowControl/>
              <w:suppressAutoHyphens w:val="0"/>
              <w:jc w:val="center"/>
              <w:rPr>
                <w:rFonts w:ascii="Arial" w:eastAsia="Times New Roman" w:hAnsi="Arial" w:cs="Arial"/>
                <w:kern w:val="0"/>
                <w:sz w:val="20"/>
                <w:szCs w:val="20"/>
                <w:lang w:val="es-ES" w:eastAsia="es-ES"/>
              </w:rPr>
            </w:pPr>
            <w:r w:rsidRPr="001D3C29">
              <w:rPr>
                <w:rFonts w:ascii="Arial" w:eastAsia="Times New Roman" w:hAnsi="Arial" w:cs="Arial"/>
                <w:kern w:val="0"/>
                <w:sz w:val="20"/>
                <w:szCs w:val="20"/>
                <w:lang w:val="es-ES" w:eastAsia="es-ES"/>
              </w:rPr>
              <w:t xml:space="preserve"> CPSC</w:t>
            </w:r>
          </w:p>
        </w:tc>
        <w:tc>
          <w:tcPr>
            <w:tcW w:w="3543" w:type="dxa"/>
            <w:tcBorders>
              <w:top w:val="single" w:sz="4" w:space="0" w:color="auto"/>
              <w:left w:val="nil"/>
              <w:bottom w:val="single" w:sz="4" w:space="0" w:color="auto"/>
              <w:right w:val="single" w:sz="4" w:space="0" w:color="auto"/>
            </w:tcBorders>
            <w:shd w:val="clear" w:color="auto" w:fill="auto"/>
            <w:vAlign w:val="center"/>
          </w:tcPr>
          <w:p w:rsidR="001D3C29" w:rsidRPr="001D3C29" w:rsidRDefault="001D3C29" w:rsidP="001D3C29">
            <w:pPr>
              <w:widowControl/>
              <w:suppressAutoHyphens w:val="0"/>
              <w:jc w:val="center"/>
              <w:rPr>
                <w:rFonts w:ascii="Arial" w:eastAsia="Times New Roman" w:hAnsi="Arial" w:cs="Arial"/>
                <w:kern w:val="0"/>
                <w:sz w:val="20"/>
                <w:szCs w:val="20"/>
                <w:lang w:val="es-ES" w:eastAsia="es-ES"/>
              </w:rPr>
            </w:pPr>
            <w:r w:rsidRPr="001D3C29">
              <w:rPr>
                <w:rFonts w:ascii="Arial" w:eastAsia="Times New Roman" w:hAnsi="Arial" w:cs="Arial"/>
                <w:kern w:val="0"/>
                <w:sz w:val="20"/>
                <w:szCs w:val="20"/>
                <w:lang w:val="es-ES" w:eastAsia="es-ES"/>
              </w:rPr>
              <w:t xml:space="preserve">Regulación; por peso seco. </w:t>
            </w:r>
          </w:p>
        </w:tc>
        <w:tc>
          <w:tcPr>
            <w:tcW w:w="2233" w:type="dxa"/>
            <w:tcBorders>
              <w:left w:val="single" w:sz="4" w:space="0" w:color="auto"/>
              <w:bottom w:val="single" w:sz="4" w:space="0" w:color="auto"/>
              <w:right w:val="single" w:sz="4" w:space="0" w:color="auto"/>
            </w:tcBorders>
            <w:vAlign w:val="center"/>
          </w:tcPr>
          <w:p w:rsidR="001D3C29" w:rsidRPr="001D3C29" w:rsidRDefault="001D3C29" w:rsidP="001D3C29">
            <w:pPr>
              <w:widowControl/>
              <w:suppressAutoHyphens w:val="0"/>
              <w:rPr>
                <w:rFonts w:ascii="Arial" w:eastAsia="Times New Roman" w:hAnsi="Arial" w:cs="Arial"/>
                <w:kern w:val="0"/>
                <w:sz w:val="20"/>
                <w:szCs w:val="20"/>
                <w:lang w:val="es-ES" w:eastAsia="es-CO"/>
              </w:rPr>
            </w:pPr>
          </w:p>
        </w:tc>
      </w:tr>
      <w:tr w:rsidR="001D3C29" w:rsidRPr="001D3C29" w:rsidTr="00844246">
        <w:trPr>
          <w:trHeight w:val="287"/>
        </w:trPr>
        <w:tc>
          <w:tcPr>
            <w:tcW w:w="493" w:type="dxa"/>
            <w:tcBorders>
              <w:top w:val="single" w:sz="4" w:space="0" w:color="auto"/>
              <w:left w:val="single" w:sz="4" w:space="0" w:color="auto"/>
              <w:bottom w:val="single" w:sz="4" w:space="0" w:color="auto"/>
              <w:right w:val="single" w:sz="4" w:space="0" w:color="auto"/>
            </w:tcBorders>
            <w:vAlign w:val="center"/>
          </w:tcPr>
          <w:p w:rsidR="001D3C29" w:rsidRPr="001D3C29" w:rsidRDefault="001D3C29" w:rsidP="001D3C29">
            <w:pPr>
              <w:widowControl/>
              <w:suppressAutoHyphens w:val="0"/>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t>11</w:t>
            </w:r>
          </w:p>
        </w:tc>
        <w:tc>
          <w:tcPr>
            <w:tcW w:w="1697" w:type="dxa"/>
            <w:tcBorders>
              <w:top w:val="single" w:sz="4" w:space="0" w:color="auto"/>
              <w:left w:val="single" w:sz="4" w:space="0" w:color="auto"/>
              <w:bottom w:val="single" w:sz="4" w:space="0" w:color="auto"/>
              <w:right w:val="single" w:sz="4" w:space="0" w:color="auto"/>
            </w:tcBorders>
            <w:shd w:val="clear" w:color="auto" w:fill="auto"/>
            <w:vAlign w:val="center"/>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sz w:val="22"/>
                <w:szCs w:val="22"/>
                <w:lang w:val="es-ES" w:eastAsia="es-ES"/>
              </w:rPr>
              <w:t>Unión Europea</w:t>
            </w:r>
          </w:p>
        </w:tc>
        <w:tc>
          <w:tcPr>
            <w:tcW w:w="2126" w:type="dxa"/>
            <w:tcBorders>
              <w:top w:val="single" w:sz="4" w:space="0" w:color="auto"/>
              <w:left w:val="nil"/>
              <w:bottom w:val="single" w:sz="4" w:space="0" w:color="auto"/>
              <w:right w:val="single" w:sz="4" w:space="0" w:color="auto"/>
            </w:tcBorders>
            <w:shd w:val="clear" w:color="auto" w:fill="auto"/>
            <w:vAlign w:val="center"/>
          </w:tcPr>
          <w:p w:rsidR="001D3C29" w:rsidRPr="001D3C29" w:rsidRDefault="001D3C29" w:rsidP="001D3C29">
            <w:pPr>
              <w:widowControl/>
              <w:suppressAutoHyphens w:val="0"/>
              <w:jc w:val="center"/>
              <w:rPr>
                <w:rFonts w:ascii="Arial" w:eastAsia="Times New Roman" w:hAnsi="Arial" w:cs="Arial"/>
                <w:kern w:val="0"/>
                <w:sz w:val="20"/>
                <w:szCs w:val="20"/>
                <w:lang w:val="es-ES" w:eastAsia="es-ES"/>
              </w:rPr>
            </w:pPr>
            <w:r w:rsidRPr="001D3C29">
              <w:rPr>
                <w:rFonts w:ascii="Arial" w:eastAsia="Times New Roman" w:hAnsi="Arial" w:cs="Arial"/>
                <w:kern w:val="0"/>
                <w:sz w:val="22"/>
                <w:szCs w:val="22"/>
                <w:lang w:val="es-ES" w:eastAsia="es-ES"/>
              </w:rPr>
              <w:t>0 µg/dL</w:t>
            </w:r>
          </w:p>
        </w:tc>
        <w:tc>
          <w:tcPr>
            <w:tcW w:w="2126" w:type="dxa"/>
            <w:tcBorders>
              <w:top w:val="single" w:sz="4" w:space="0" w:color="auto"/>
              <w:left w:val="nil"/>
              <w:bottom w:val="single" w:sz="4" w:space="0" w:color="auto"/>
              <w:right w:val="single" w:sz="4" w:space="0" w:color="auto"/>
            </w:tcBorders>
            <w:shd w:val="clear" w:color="auto" w:fill="auto"/>
            <w:vAlign w:val="center"/>
          </w:tcPr>
          <w:p w:rsidR="001D3C29" w:rsidRPr="001D3C29" w:rsidRDefault="001D3C29" w:rsidP="001D3C29">
            <w:pPr>
              <w:widowControl/>
              <w:suppressAutoHyphens w:val="0"/>
              <w:jc w:val="center"/>
              <w:rPr>
                <w:rFonts w:ascii="Arial" w:eastAsia="Times New Roman" w:hAnsi="Arial" w:cs="Arial"/>
                <w:kern w:val="0"/>
                <w:sz w:val="20"/>
                <w:szCs w:val="20"/>
                <w:lang w:val="es-ES" w:eastAsia="es-ES"/>
              </w:rPr>
            </w:pPr>
            <w:r w:rsidRPr="001D3C29">
              <w:rPr>
                <w:rFonts w:ascii="Arial" w:eastAsia="Times New Roman" w:hAnsi="Arial" w:cs="Arial"/>
                <w:kern w:val="0"/>
                <w:sz w:val="22"/>
                <w:szCs w:val="22"/>
                <w:lang w:val="es-ES" w:eastAsia="es-ES"/>
              </w:rPr>
              <w:t>Combustibles fósiles</w:t>
            </w:r>
          </w:p>
        </w:tc>
        <w:tc>
          <w:tcPr>
            <w:tcW w:w="1276" w:type="dxa"/>
            <w:tcBorders>
              <w:top w:val="single" w:sz="4" w:space="0" w:color="auto"/>
              <w:left w:val="nil"/>
              <w:bottom w:val="single" w:sz="4" w:space="0" w:color="auto"/>
              <w:right w:val="single" w:sz="4" w:space="0" w:color="auto"/>
            </w:tcBorders>
            <w:shd w:val="clear" w:color="auto" w:fill="auto"/>
            <w:vAlign w:val="center"/>
          </w:tcPr>
          <w:p w:rsidR="001D3C29" w:rsidRPr="001D3C29" w:rsidRDefault="001D3C29" w:rsidP="001D3C29">
            <w:pPr>
              <w:widowControl/>
              <w:suppressAutoHyphens w:val="0"/>
              <w:jc w:val="center"/>
              <w:rPr>
                <w:rFonts w:ascii="Arial" w:eastAsia="Times New Roman" w:hAnsi="Arial" w:cs="Arial"/>
                <w:kern w:val="0"/>
                <w:sz w:val="20"/>
                <w:szCs w:val="20"/>
                <w:lang w:val="es-ES" w:eastAsia="es-ES"/>
              </w:rPr>
            </w:pPr>
            <w:r w:rsidRPr="001D3C29">
              <w:rPr>
                <w:rFonts w:ascii="Arial" w:eastAsia="Times New Roman" w:hAnsi="Arial" w:cs="Arial"/>
                <w:kern w:val="0"/>
                <w:sz w:val="22"/>
                <w:szCs w:val="22"/>
                <w:lang w:val="es-ES" w:eastAsia="es-ES"/>
              </w:rPr>
              <w:t>Directiva 98/70/CE Parlamento Europeo gasolina y el gasóleo</w:t>
            </w:r>
          </w:p>
        </w:tc>
        <w:tc>
          <w:tcPr>
            <w:tcW w:w="3543" w:type="dxa"/>
            <w:tcBorders>
              <w:top w:val="single" w:sz="4" w:space="0" w:color="auto"/>
              <w:left w:val="nil"/>
              <w:bottom w:val="single" w:sz="4" w:space="0" w:color="auto"/>
              <w:right w:val="single" w:sz="4" w:space="0" w:color="auto"/>
            </w:tcBorders>
            <w:shd w:val="clear" w:color="auto" w:fill="auto"/>
            <w:vAlign w:val="center"/>
          </w:tcPr>
          <w:p w:rsidR="001D3C29" w:rsidRPr="001D3C29" w:rsidRDefault="001D3C29" w:rsidP="001D3C29">
            <w:pPr>
              <w:widowControl/>
              <w:suppressAutoHyphens w:val="0"/>
              <w:jc w:val="center"/>
              <w:rPr>
                <w:rFonts w:ascii="Arial" w:eastAsia="Times New Roman" w:hAnsi="Arial" w:cs="Arial"/>
                <w:kern w:val="0"/>
                <w:sz w:val="20"/>
                <w:szCs w:val="20"/>
                <w:lang w:val="es-ES" w:eastAsia="es-ES"/>
              </w:rPr>
            </w:pPr>
            <w:r w:rsidRPr="001D3C29">
              <w:rPr>
                <w:rFonts w:ascii="Arial" w:eastAsia="Times New Roman" w:hAnsi="Arial" w:cs="Arial"/>
                <w:kern w:val="0"/>
                <w:lang w:val="es-ES" w:eastAsia="es-ES"/>
              </w:rPr>
              <w:t xml:space="preserve">Relativa a la calidad de la gasolina y el gasóleo en la que se indica las </w:t>
            </w:r>
            <w:r w:rsidRPr="001D3C29">
              <w:rPr>
                <w:rFonts w:ascii="Arial" w:eastAsia="Times New Roman" w:hAnsi="Arial" w:cs="Arial"/>
                <w:kern w:val="0"/>
                <w:sz w:val="22"/>
                <w:szCs w:val="22"/>
                <w:lang w:val="es-ES" w:eastAsia="es-ES"/>
              </w:rPr>
              <w:t>No presencia de contenido de plomo en combustibles fósiles.</w:t>
            </w:r>
          </w:p>
        </w:tc>
        <w:tc>
          <w:tcPr>
            <w:tcW w:w="2233" w:type="dxa"/>
            <w:tcBorders>
              <w:top w:val="single" w:sz="4" w:space="0" w:color="auto"/>
              <w:left w:val="single" w:sz="4" w:space="0" w:color="auto"/>
              <w:bottom w:val="single" w:sz="4" w:space="0" w:color="auto"/>
              <w:right w:val="single" w:sz="4" w:space="0" w:color="auto"/>
            </w:tcBorders>
            <w:vAlign w:val="center"/>
          </w:tcPr>
          <w:p w:rsidR="001D3C29" w:rsidRPr="001D3C29" w:rsidRDefault="001D3C29" w:rsidP="001D3C29">
            <w:pPr>
              <w:widowControl/>
              <w:suppressAutoHyphens w:val="0"/>
              <w:rPr>
                <w:rFonts w:ascii="Arial" w:eastAsia="Times New Roman" w:hAnsi="Arial" w:cs="Arial"/>
                <w:kern w:val="0"/>
                <w:sz w:val="20"/>
                <w:szCs w:val="20"/>
                <w:lang w:val="es-ES" w:eastAsia="es-CO"/>
              </w:rPr>
            </w:pPr>
            <w:r w:rsidRPr="001D3C29">
              <w:rPr>
                <w:rFonts w:ascii="Arial" w:eastAsia="Times New Roman" w:hAnsi="Arial" w:cs="Arial"/>
                <w:kern w:val="0"/>
                <w:lang w:val="es-ES" w:eastAsia="es-ES"/>
              </w:rPr>
              <w:t xml:space="preserve">http://eur-lex.europa.eu/resource.html?uri=cellar:e373d7a7-043c-4fd5-94ba-389d24e8fe26.0010.02/DOC_1&amp;format=PDF     </w:t>
            </w:r>
            <w:r w:rsidRPr="001D3C29">
              <w:rPr>
                <w:rFonts w:ascii="Arial" w:eastAsia="Times New Roman" w:hAnsi="Arial" w:cs="Arial"/>
                <w:kern w:val="0"/>
                <w:lang w:val="es-ES" w:eastAsia="es-ES"/>
              </w:rPr>
              <w:lastRenderedPageBreak/>
              <w:t>http://www.boe.es/doue/2014/005/L00003-00004.pdf</w:t>
            </w:r>
          </w:p>
        </w:tc>
      </w:tr>
      <w:tr w:rsidR="001D3C29" w:rsidRPr="001D3C29" w:rsidTr="00844246">
        <w:trPr>
          <w:trHeight w:val="287"/>
        </w:trPr>
        <w:tc>
          <w:tcPr>
            <w:tcW w:w="493" w:type="dxa"/>
            <w:tcBorders>
              <w:top w:val="single" w:sz="4" w:space="0" w:color="auto"/>
              <w:left w:val="single" w:sz="4" w:space="0" w:color="auto"/>
              <w:bottom w:val="single" w:sz="4" w:space="0" w:color="auto"/>
              <w:right w:val="single" w:sz="4" w:space="0" w:color="auto"/>
            </w:tcBorders>
            <w:vAlign w:val="center"/>
          </w:tcPr>
          <w:p w:rsidR="001D3C29" w:rsidRPr="001D3C29" w:rsidRDefault="001D3C29" w:rsidP="001D3C29">
            <w:pPr>
              <w:widowControl/>
              <w:suppressAutoHyphens w:val="0"/>
              <w:rPr>
                <w:rFonts w:ascii="Arial" w:eastAsia="Times New Roman" w:hAnsi="Arial" w:cs="Arial"/>
                <w:kern w:val="0"/>
                <w:sz w:val="20"/>
                <w:lang w:val="es-ES" w:eastAsia="es-CO"/>
              </w:rPr>
            </w:pPr>
            <w:r w:rsidRPr="001D3C29">
              <w:rPr>
                <w:rFonts w:ascii="Arial" w:eastAsia="Times New Roman" w:hAnsi="Arial" w:cs="Arial"/>
                <w:kern w:val="0"/>
                <w:sz w:val="20"/>
                <w:lang w:val="es-ES" w:eastAsia="es-CO"/>
              </w:rPr>
              <w:lastRenderedPageBreak/>
              <w:t>12</w:t>
            </w:r>
          </w:p>
        </w:tc>
        <w:tc>
          <w:tcPr>
            <w:tcW w:w="1697" w:type="dxa"/>
            <w:tcBorders>
              <w:top w:val="single" w:sz="4" w:space="0" w:color="auto"/>
              <w:left w:val="single" w:sz="4" w:space="0" w:color="auto"/>
              <w:bottom w:val="single" w:sz="4" w:space="0" w:color="auto"/>
              <w:right w:val="single" w:sz="4" w:space="0" w:color="auto"/>
            </w:tcBorders>
            <w:shd w:val="clear" w:color="auto" w:fill="auto"/>
            <w:vAlign w:val="center"/>
          </w:tcPr>
          <w:p w:rsidR="001D3C29" w:rsidRPr="001D3C29" w:rsidRDefault="001D3C29" w:rsidP="001D3C29">
            <w:pPr>
              <w:widowControl/>
              <w:suppressAutoHyphens w:val="0"/>
              <w:rPr>
                <w:rFonts w:ascii="Arial" w:eastAsia="Times New Roman" w:hAnsi="Arial" w:cs="Arial"/>
                <w:kern w:val="0"/>
                <w:lang w:val="es-ES" w:eastAsia="es-ES"/>
              </w:rPr>
            </w:pPr>
            <w:r w:rsidRPr="001D3C29">
              <w:rPr>
                <w:rFonts w:ascii="Arial" w:eastAsia="Times New Roman" w:hAnsi="Arial" w:cs="Arial"/>
                <w:kern w:val="0"/>
                <w:sz w:val="22"/>
                <w:szCs w:val="22"/>
                <w:lang w:val="es-ES" w:eastAsia="es-ES"/>
              </w:rPr>
              <w:t>Internacional - Estados Unidos</w:t>
            </w:r>
          </w:p>
        </w:tc>
        <w:tc>
          <w:tcPr>
            <w:tcW w:w="2126" w:type="dxa"/>
            <w:tcBorders>
              <w:top w:val="single" w:sz="4" w:space="0" w:color="auto"/>
              <w:left w:val="nil"/>
              <w:bottom w:val="single" w:sz="4" w:space="0" w:color="auto"/>
              <w:right w:val="single" w:sz="4" w:space="0" w:color="auto"/>
            </w:tcBorders>
            <w:shd w:val="clear" w:color="auto" w:fill="auto"/>
            <w:vAlign w:val="center"/>
          </w:tcPr>
          <w:p w:rsidR="001D3C29" w:rsidRPr="001D3C29" w:rsidRDefault="001D3C29" w:rsidP="001D3C29">
            <w:pPr>
              <w:widowControl/>
              <w:suppressAutoHyphens w:val="0"/>
              <w:jc w:val="center"/>
              <w:rPr>
                <w:rFonts w:ascii="Arial" w:eastAsia="Times New Roman" w:hAnsi="Arial" w:cs="Arial"/>
                <w:kern w:val="0"/>
                <w:lang w:val="es-ES" w:eastAsia="es-ES"/>
              </w:rPr>
            </w:pPr>
            <w:r w:rsidRPr="001D3C29">
              <w:rPr>
                <w:rFonts w:ascii="Arial" w:eastAsia="Times New Roman" w:hAnsi="Arial" w:cs="Arial"/>
                <w:kern w:val="0"/>
                <w:sz w:val="22"/>
                <w:szCs w:val="22"/>
                <w:lang w:val="es-ES" w:eastAsia="es-ES"/>
              </w:rPr>
              <w:t>0 µg/dL</w:t>
            </w:r>
          </w:p>
        </w:tc>
        <w:tc>
          <w:tcPr>
            <w:tcW w:w="2126" w:type="dxa"/>
            <w:tcBorders>
              <w:top w:val="single" w:sz="4" w:space="0" w:color="auto"/>
              <w:left w:val="nil"/>
              <w:bottom w:val="single" w:sz="4" w:space="0" w:color="auto"/>
              <w:right w:val="single" w:sz="4" w:space="0" w:color="auto"/>
            </w:tcBorders>
            <w:shd w:val="clear" w:color="auto" w:fill="auto"/>
            <w:vAlign w:val="center"/>
          </w:tcPr>
          <w:p w:rsidR="001D3C29" w:rsidRPr="001D3C29" w:rsidRDefault="001D3C29" w:rsidP="001D3C29">
            <w:pPr>
              <w:widowControl/>
              <w:suppressAutoHyphens w:val="0"/>
              <w:jc w:val="center"/>
              <w:rPr>
                <w:rFonts w:ascii="Arial" w:eastAsia="Times New Roman" w:hAnsi="Arial" w:cs="Arial"/>
                <w:kern w:val="0"/>
                <w:lang w:val="es-ES" w:eastAsia="es-ES"/>
              </w:rPr>
            </w:pPr>
            <w:r w:rsidRPr="001D3C29">
              <w:rPr>
                <w:rFonts w:ascii="Arial" w:eastAsia="Times New Roman" w:hAnsi="Arial" w:cs="Arial"/>
                <w:kern w:val="0"/>
                <w:sz w:val="22"/>
                <w:szCs w:val="22"/>
                <w:lang w:val="es-ES" w:eastAsia="es-ES"/>
              </w:rPr>
              <w:t>Gasolinas y combustibles</w:t>
            </w:r>
          </w:p>
        </w:tc>
        <w:tc>
          <w:tcPr>
            <w:tcW w:w="1276" w:type="dxa"/>
            <w:tcBorders>
              <w:top w:val="single" w:sz="4" w:space="0" w:color="auto"/>
              <w:left w:val="nil"/>
              <w:bottom w:val="single" w:sz="4" w:space="0" w:color="auto"/>
              <w:right w:val="single" w:sz="4" w:space="0" w:color="auto"/>
            </w:tcBorders>
            <w:shd w:val="clear" w:color="auto" w:fill="auto"/>
            <w:vAlign w:val="center"/>
          </w:tcPr>
          <w:p w:rsidR="001D3C29" w:rsidRPr="001D3C29" w:rsidRDefault="001D3C29" w:rsidP="001D3C29">
            <w:pPr>
              <w:widowControl/>
              <w:suppressAutoHyphens w:val="0"/>
              <w:jc w:val="center"/>
              <w:rPr>
                <w:rFonts w:ascii="Arial" w:eastAsia="Times New Roman" w:hAnsi="Arial" w:cs="Arial"/>
                <w:kern w:val="0"/>
                <w:lang w:val="es-ES" w:eastAsia="es-ES"/>
              </w:rPr>
            </w:pPr>
            <w:r w:rsidRPr="001D3C29">
              <w:rPr>
                <w:rFonts w:ascii="Arial" w:eastAsia="Times New Roman" w:hAnsi="Arial" w:cs="Arial"/>
                <w:kern w:val="0"/>
                <w:sz w:val="22"/>
                <w:szCs w:val="22"/>
                <w:lang w:val="es-ES" w:eastAsia="es-ES"/>
              </w:rPr>
              <w:t>WHO, EPA</w:t>
            </w:r>
          </w:p>
        </w:tc>
        <w:tc>
          <w:tcPr>
            <w:tcW w:w="3543" w:type="dxa"/>
            <w:tcBorders>
              <w:top w:val="single" w:sz="4" w:space="0" w:color="auto"/>
              <w:left w:val="nil"/>
              <w:bottom w:val="single" w:sz="4" w:space="0" w:color="auto"/>
              <w:right w:val="single" w:sz="4" w:space="0" w:color="auto"/>
            </w:tcBorders>
            <w:shd w:val="clear" w:color="auto" w:fill="auto"/>
            <w:vAlign w:val="center"/>
          </w:tcPr>
          <w:p w:rsidR="001D3C29" w:rsidRPr="001D3C29" w:rsidRDefault="001D3C29" w:rsidP="001D3C29">
            <w:pPr>
              <w:widowControl/>
              <w:suppressAutoHyphens w:val="0"/>
              <w:jc w:val="center"/>
              <w:rPr>
                <w:rFonts w:ascii="Arial" w:eastAsia="Times New Roman" w:hAnsi="Arial" w:cs="Arial"/>
                <w:kern w:val="0"/>
                <w:lang w:val="es-ES" w:eastAsia="es-ES"/>
              </w:rPr>
            </w:pPr>
            <w:r w:rsidRPr="001D3C29">
              <w:rPr>
                <w:rFonts w:ascii="Arial" w:eastAsia="Times New Roman" w:hAnsi="Arial" w:cs="Arial"/>
                <w:kern w:val="0"/>
                <w:sz w:val="22"/>
                <w:szCs w:val="22"/>
                <w:lang w:val="es-ES" w:eastAsia="es-ES"/>
              </w:rPr>
              <w:t>Eliminación del plomo en gasolinas</w:t>
            </w:r>
          </w:p>
        </w:tc>
        <w:tc>
          <w:tcPr>
            <w:tcW w:w="2233" w:type="dxa"/>
            <w:tcBorders>
              <w:top w:val="single" w:sz="4" w:space="0" w:color="auto"/>
              <w:left w:val="single" w:sz="4" w:space="0" w:color="auto"/>
              <w:bottom w:val="single" w:sz="4" w:space="0" w:color="auto"/>
              <w:right w:val="single" w:sz="4" w:space="0" w:color="auto"/>
            </w:tcBorders>
            <w:vAlign w:val="center"/>
          </w:tcPr>
          <w:p w:rsidR="001D3C29" w:rsidRPr="001D3C29" w:rsidRDefault="001D3C29" w:rsidP="001D3C29">
            <w:pPr>
              <w:widowControl/>
              <w:suppressAutoHyphens w:val="0"/>
              <w:rPr>
                <w:rFonts w:ascii="Arial" w:eastAsia="Times New Roman" w:hAnsi="Arial" w:cs="Arial"/>
                <w:kern w:val="0"/>
                <w:lang w:val="es-ES" w:eastAsia="es-ES"/>
              </w:rPr>
            </w:pPr>
            <w:r w:rsidRPr="001D3C29">
              <w:rPr>
                <w:rFonts w:ascii="Arial" w:eastAsia="Times New Roman" w:hAnsi="Arial" w:cs="Arial"/>
                <w:kern w:val="0"/>
                <w:sz w:val="22"/>
                <w:szCs w:val="22"/>
                <w:lang w:val="es-ES" w:eastAsia="es-ES"/>
              </w:rPr>
              <w:t>http://nepis.epa.gov/Exe/ZyPDF.cgi/901D0800.PDF?Dockey=901D0800.PDF   http://www.who.int/mediacentre/factsheets/fs379/es/</w:t>
            </w:r>
          </w:p>
        </w:tc>
      </w:tr>
    </w:tbl>
    <w:p w:rsidR="001D3C29" w:rsidRPr="001D3C29" w:rsidRDefault="001D3C29" w:rsidP="001D3C29">
      <w:pPr>
        <w:widowControl/>
        <w:suppressAutoHyphens w:val="0"/>
        <w:jc w:val="both"/>
        <w:rPr>
          <w:rFonts w:ascii="Arial" w:eastAsia="Times New Roman" w:hAnsi="Arial" w:cs="Arial"/>
          <w:kern w:val="0"/>
          <w:lang w:val="es-ES" w:eastAsia="es-ES"/>
        </w:rPr>
      </w:pPr>
    </w:p>
    <w:p w:rsidR="001D3C29" w:rsidRPr="001D3C29" w:rsidRDefault="001D3C29" w:rsidP="001D3C29">
      <w:pPr>
        <w:widowControl/>
        <w:suppressAutoHyphens w:val="0"/>
        <w:jc w:val="both"/>
        <w:rPr>
          <w:rFonts w:ascii="Arial" w:eastAsia="Times New Roman" w:hAnsi="Arial" w:cs="Arial"/>
          <w:kern w:val="0"/>
          <w:lang w:val="es-ES" w:eastAsia="es-ES"/>
        </w:rPr>
        <w:sectPr w:rsidR="001D3C29" w:rsidRPr="001D3C29" w:rsidSect="00844246">
          <w:pgSz w:w="15840" w:h="12240" w:orient="landscape" w:code="1"/>
          <w:pgMar w:top="1701" w:right="1701" w:bottom="1701" w:left="1701" w:header="709" w:footer="709" w:gutter="0"/>
          <w:cols w:space="708"/>
          <w:docGrid w:linePitch="360"/>
        </w:sectPr>
      </w:pPr>
    </w:p>
    <w:p w:rsidR="005963EC" w:rsidRDefault="005963EC" w:rsidP="001D3C29">
      <w:pPr>
        <w:widowControl/>
        <w:suppressAutoHyphens w:val="0"/>
        <w:jc w:val="both"/>
        <w:rPr>
          <w:rFonts w:ascii="Arial" w:eastAsia="Times New Roman" w:hAnsi="Arial" w:cs="Arial"/>
          <w:b/>
          <w:kern w:val="0"/>
          <w:lang w:val="es-ES" w:eastAsia="es-ES"/>
        </w:rPr>
      </w:pPr>
    </w:p>
    <w:p w:rsidR="001D3C29" w:rsidRPr="001D3C29" w:rsidRDefault="001D3C29" w:rsidP="001D3C29">
      <w:pPr>
        <w:widowControl/>
        <w:suppressAutoHyphens w:val="0"/>
        <w:jc w:val="both"/>
        <w:rPr>
          <w:rFonts w:ascii="Arial" w:eastAsia="Times New Roman" w:hAnsi="Arial" w:cs="Arial"/>
          <w:b/>
          <w:kern w:val="0"/>
          <w:lang w:val="es-ES" w:eastAsia="es-ES"/>
        </w:rPr>
      </w:pPr>
      <w:r w:rsidRPr="001D3C29">
        <w:rPr>
          <w:rFonts w:ascii="Arial" w:eastAsia="Times New Roman" w:hAnsi="Arial" w:cs="Arial"/>
          <w:b/>
          <w:kern w:val="0"/>
          <w:lang w:val="es-ES" w:eastAsia="es-ES"/>
        </w:rPr>
        <w:t>Acciones internacionales</w:t>
      </w:r>
    </w:p>
    <w:p w:rsidR="001D3C29" w:rsidRPr="001D3C29" w:rsidRDefault="001D3C29" w:rsidP="001D3C29">
      <w:pPr>
        <w:widowControl/>
        <w:suppressAutoHyphens w:val="0"/>
        <w:jc w:val="both"/>
        <w:rPr>
          <w:rFonts w:ascii="Arial" w:eastAsia="Times New Roman" w:hAnsi="Arial" w:cs="Arial"/>
          <w:b/>
          <w:kern w:val="0"/>
          <w:lang w:val="es-ES" w:eastAsia="es-ES"/>
        </w:rPr>
      </w:pPr>
    </w:p>
    <w:p w:rsidR="001D3C29" w:rsidRPr="001D3C29" w:rsidRDefault="001D3C29" w:rsidP="001D3C29">
      <w:pPr>
        <w:widowControl/>
        <w:suppressAutoHyphens w:val="0"/>
        <w:spacing w:after="240"/>
        <w:jc w:val="both"/>
        <w:rPr>
          <w:rFonts w:ascii="Arial" w:eastAsia="Times New Roman" w:hAnsi="Arial" w:cs="Arial"/>
          <w:kern w:val="0"/>
          <w:lang w:val="es-ES" w:eastAsia="es-ES"/>
        </w:rPr>
      </w:pPr>
      <w:r w:rsidRPr="001D3C29">
        <w:rPr>
          <w:rFonts w:ascii="Arial" w:eastAsia="Times New Roman" w:hAnsi="Arial" w:cs="Arial"/>
          <w:b/>
          <w:kern w:val="0"/>
          <w:lang w:val="es-ES" w:eastAsia="es-ES"/>
        </w:rPr>
        <w:t>Estados Unidos</w:t>
      </w:r>
    </w:p>
    <w:p w:rsidR="001D3C29" w:rsidRDefault="001D3C29" w:rsidP="001D3C29">
      <w:pPr>
        <w:widowControl/>
        <w:suppressAutoHyphens w:val="0"/>
        <w:jc w:val="both"/>
        <w:rPr>
          <w:rFonts w:ascii="Arial" w:eastAsia="Times New Roman" w:hAnsi="Arial" w:cs="Arial"/>
          <w:kern w:val="0"/>
          <w:lang w:val="es-ES" w:eastAsia="es-ES"/>
        </w:rPr>
      </w:pPr>
      <w:r w:rsidRPr="001D3C29">
        <w:rPr>
          <w:rFonts w:ascii="Arial" w:eastAsia="Times New Roman" w:hAnsi="Arial" w:cs="Arial"/>
          <w:kern w:val="0"/>
          <w:lang w:val="es-ES" w:eastAsia="es-ES"/>
        </w:rPr>
        <w:t xml:space="preserve">En el año 2000, la CDC, el Departamento de Vivienda y Desarrollo Urbano (HUD- </w:t>
      </w:r>
      <w:r w:rsidRPr="001D3C29">
        <w:rPr>
          <w:rFonts w:ascii="Arial" w:eastAsia="Times New Roman" w:hAnsi="Arial" w:cs="Arial"/>
          <w:kern w:val="0"/>
          <w:lang w:val="es-CO" w:eastAsia="es-ES"/>
        </w:rPr>
        <w:t>Housing and UrbanDevelopment</w:t>
      </w:r>
      <w:r w:rsidRPr="001D3C29">
        <w:rPr>
          <w:rFonts w:ascii="Arial" w:eastAsia="Times New Roman" w:hAnsi="Arial" w:cs="Arial"/>
          <w:kern w:val="0"/>
          <w:lang w:val="es-ES" w:eastAsia="es-ES"/>
        </w:rPr>
        <w:t xml:space="preserve">), la Agencia de Protección Ambiental (EPA- </w:t>
      </w:r>
      <w:r w:rsidRPr="001D3C29">
        <w:rPr>
          <w:rFonts w:ascii="Arial" w:eastAsia="Times New Roman" w:hAnsi="Arial" w:cs="Arial"/>
          <w:kern w:val="0"/>
          <w:lang w:val="es-CO" w:eastAsia="es-ES"/>
        </w:rPr>
        <w:t>EnvironmentalProtection Agency</w:t>
      </w:r>
      <w:r w:rsidRPr="001D3C29">
        <w:rPr>
          <w:rFonts w:ascii="Arial" w:eastAsia="Times New Roman" w:hAnsi="Arial" w:cs="Arial"/>
          <w:kern w:val="0"/>
          <w:lang w:val="es-ES" w:eastAsia="es-ES"/>
        </w:rPr>
        <w:t>) y otros organismos, desarrollaron estrategias interinstitucionales para eliminar los niveles de plomo en niños a un período de 10 años. Las estrategias planteadas son: 1) mejorar las tasas de detección de los niños en riesgo de poseer niveles de plomo en sangre, 2) desarrollar estrategias de vigilancia que no solo dependen de la prueba de plomo en sangre, y 3) ayudar a los estados con la evaluación de los planes de detección (Wengrovizt et al., 2009).</w:t>
      </w:r>
    </w:p>
    <w:p w:rsidR="00A42439" w:rsidRDefault="00A42439" w:rsidP="001D3C29">
      <w:pPr>
        <w:widowControl/>
        <w:suppressAutoHyphens w:val="0"/>
        <w:jc w:val="both"/>
        <w:rPr>
          <w:rFonts w:ascii="Arial" w:eastAsia="Times New Roman" w:hAnsi="Arial" w:cs="Arial"/>
          <w:kern w:val="0"/>
          <w:lang w:val="es-ES" w:eastAsia="es-ES"/>
        </w:rPr>
      </w:pPr>
    </w:p>
    <w:p w:rsidR="00235952" w:rsidRDefault="00235952" w:rsidP="001D3C29">
      <w:pPr>
        <w:widowControl/>
        <w:suppressAutoHyphens w:val="0"/>
        <w:jc w:val="both"/>
        <w:rPr>
          <w:rFonts w:ascii="Arial" w:eastAsia="Times New Roman" w:hAnsi="Arial" w:cs="Arial"/>
          <w:b/>
          <w:kern w:val="0"/>
          <w:lang w:val="es-ES" w:eastAsia="es-ES"/>
        </w:rPr>
      </w:pPr>
    </w:p>
    <w:p w:rsidR="00235952" w:rsidRPr="00FB166D" w:rsidRDefault="00235952" w:rsidP="001D3C29">
      <w:pPr>
        <w:widowControl/>
        <w:suppressAutoHyphens w:val="0"/>
        <w:jc w:val="both"/>
        <w:rPr>
          <w:rFonts w:ascii="Arial" w:eastAsia="Times New Roman" w:hAnsi="Arial" w:cs="Arial"/>
          <w:b/>
          <w:kern w:val="0"/>
          <w:lang w:val="es-ES" w:eastAsia="es-ES"/>
        </w:rPr>
      </w:pPr>
      <w:r w:rsidRPr="00FB166D">
        <w:rPr>
          <w:rFonts w:ascii="Arial" w:eastAsia="Times New Roman" w:hAnsi="Arial" w:cs="Arial"/>
          <w:b/>
          <w:kern w:val="0"/>
          <w:lang w:val="es-ES" w:eastAsia="es-ES"/>
        </w:rPr>
        <w:t>UNION EUR</w:t>
      </w:r>
      <w:r w:rsidR="00296FC8" w:rsidRPr="00FB166D">
        <w:rPr>
          <w:rFonts w:ascii="Arial" w:eastAsia="Times New Roman" w:hAnsi="Arial" w:cs="Arial"/>
          <w:b/>
          <w:kern w:val="0"/>
          <w:lang w:val="es-ES" w:eastAsia="es-ES"/>
        </w:rPr>
        <w:t>O</w:t>
      </w:r>
      <w:r w:rsidRPr="00FB166D">
        <w:rPr>
          <w:rFonts w:ascii="Arial" w:eastAsia="Times New Roman" w:hAnsi="Arial" w:cs="Arial"/>
          <w:b/>
          <w:kern w:val="0"/>
          <w:lang w:val="es-ES" w:eastAsia="es-ES"/>
        </w:rPr>
        <w:t xml:space="preserve">PEA </w:t>
      </w:r>
    </w:p>
    <w:p w:rsidR="00981946" w:rsidRPr="00FB166D" w:rsidRDefault="00981946" w:rsidP="00235952">
      <w:pPr>
        <w:widowControl/>
        <w:suppressAutoHyphens w:val="0"/>
        <w:jc w:val="both"/>
        <w:rPr>
          <w:rFonts w:ascii="Arial" w:eastAsia="Times New Roman" w:hAnsi="Arial" w:cs="Arial"/>
          <w:i/>
          <w:kern w:val="0"/>
          <w:lang w:val="es-ES" w:eastAsia="es-ES"/>
        </w:rPr>
      </w:pPr>
    </w:p>
    <w:p w:rsidR="00981946" w:rsidRPr="00FB166D" w:rsidRDefault="00981946" w:rsidP="00981946">
      <w:pPr>
        <w:widowControl/>
        <w:suppressAutoHyphens w:val="0"/>
        <w:jc w:val="both"/>
        <w:rPr>
          <w:rFonts w:ascii="Arial" w:eastAsia="Times New Roman" w:hAnsi="Arial" w:cs="Arial"/>
          <w:kern w:val="0"/>
          <w:lang w:val="es-ES" w:eastAsia="es-ES"/>
        </w:rPr>
      </w:pPr>
      <w:r w:rsidRPr="00FB166D">
        <w:rPr>
          <w:rFonts w:ascii="Arial" w:eastAsia="Times New Roman" w:hAnsi="Arial" w:cs="Arial"/>
          <w:kern w:val="0"/>
          <w:lang w:val="es-ES" w:eastAsia="es-ES"/>
        </w:rPr>
        <w:t>La Unión Europea (UE) ha puesto en marcha el sistema REACH, un sistema integrado de registro, evaluación, autorización y restricción de sustancias y preparados químicos, y crea la Agencia Europea de Sustancias y Preparados Químicos. REACH obliga a las empresas que fabrican e importan sustancias y preparados químicos a evaluar los riesgos derivados de su utilización y a adoptar las medidas necesarias para gestionar cualquier riesgo identificado. La carga de la prueba de la seguridad de las sustancias y preparados químicos fabricados o comercializados recae en la industria.</w:t>
      </w:r>
    </w:p>
    <w:p w:rsidR="00981946" w:rsidRPr="00FB166D" w:rsidRDefault="00981946" w:rsidP="00981946">
      <w:pPr>
        <w:widowControl/>
        <w:suppressAutoHyphens w:val="0"/>
        <w:jc w:val="both"/>
        <w:rPr>
          <w:rFonts w:ascii="Arial" w:eastAsia="Times New Roman" w:hAnsi="Arial" w:cs="Arial"/>
          <w:kern w:val="0"/>
          <w:lang w:val="es-ES" w:eastAsia="es-ES"/>
        </w:rPr>
      </w:pPr>
    </w:p>
    <w:p w:rsidR="00981946" w:rsidRPr="00FB166D" w:rsidRDefault="00981946" w:rsidP="00981946">
      <w:pPr>
        <w:widowControl/>
        <w:suppressAutoHyphens w:val="0"/>
        <w:jc w:val="both"/>
        <w:rPr>
          <w:rFonts w:ascii="Arial" w:eastAsia="Times New Roman" w:hAnsi="Arial" w:cs="Arial"/>
          <w:kern w:val="0"/>
          <w:lang w:val="es-ES" w:eastAsia="es-ES"/>
        </w:rPr>
      </w:pPr>
      <w:r w:rsidRPr="00FB166D">
        <w:rPr>
          <w:rFonts w:ascii="Arial" w:eastAsia="Times New Roman" w:hAnsi="Arial" w:cs="Arial"/>
          <w:kern w:val="0"/>
          <w:lang w:val="es-ES" w:eastAsia="es-ES"/>
        </w:rPr>
        <w:t>El Reglamento pretende garantizar un nivel elevado de protección de la salud humana y el medio ambiente, así como fomentar la competitividad y la innovación en el sector de las sustancias y preparados químicos.</w:t>
      </w:r>
    </w:p>
    <w:p w:rsidR="00981946" w:rsidRPr="00FB166D" w:rsidRDefault="00981946" w:rsidP="00235952">
      <w:pPr>
        <w:widowControl/>
        <w:suppressAutoHyphens w:val="0"/>
        <w:jc w:val="both"/>
        <w:rPr>
          <w:rFonts w:ascii="Arial" w:eastAsia="Times New Roman" w:hAnsi="Arial" w:cs="Arial"/>
          <w:kern w:val="0"/>
          <w:lang w:val="es-ES" w:eastAsia="es-ES"/>
        </w:rPr>
      </w:pPr>
    </w:p>
    <w:p w:rsidR="00235952" w:rsidRPr="00FB166D" w:rsidRDefault="00235952" w:rsidP="00235952">
      <w:pPr>
        <w:widowControl/>
        <w:suppressAutoHyphens w:val="0"/>
        <w:jc w:val="both"/>
        <w:rPr>
          <w:rFonts w:ascii="Arial" w:eastAsia="Times New Roman" w:hAnsi="Arial" w:cs="Arial"/>
          <w:i/>
          <w:kern w:val="0"/>
          <w:lang w:val="es-ES" w:eastAsia="es-ES"/>
        </w:rPr>
      </w:pPr>
      <w:r w:rsidRPr="00FB166D">
        <w:rPr>
          <w:rFonts w:ascii="Arial" w:eastAsia="Times New Roman" w:hAnsi="Arial" w:cs="Arial"/>
          <w:i/>
          <w:kern w:val="0"/>
          <w:lang w:val="es-ES" w:eastAsia="es-ES"/>
        </w:rPr>
        <w:t>“REGLAMENTO (CE) nº 1907/2006 DEL PARLAMENTO EUROPEO Y DEL CONSEJO de 18 de diciembre de 2006 relativo al registro, la evaluación, la autorización y la restricción de las sustancias y preparados químicos (REACH), por el que se crea la Agencia Europea de Sustancias y Preparados Químicos, se modifica la Directiva 1999/45/CE y se derogan el Reglamento (CEE) nº 793/93 del Consejo y el Reglamento (CE) nº 1488/94 de la Comisión así como la Directiva 76/769/CEE del Consejo y las Directivas 91/155/CEE, 93/67/CEE, 93/105/CE y 2000/21/CE de la Comisión”.</w:t>
      </w:r>
    </w:p>
    <w:p w:rsidR="00235952" w:rsidRPr="00FB166D" w:rsidRDefault="00235952" w:rsidP="00235952">
      <w:pPr>
        <w:widowControl/>
        <w:suppressAutoHyphens w:val="0"/>
        <w:jc w:val="both"/>
        <w:rPr>
          <w:rFonts w:ascii="Arial" w:eastAsia="Times New Roman" w:hAnsi="Arial" w:cs="Arial"/>
          <w:i/>
          <w:kern w:val="0"/>
          <w:lang w:val="es-ES" w:eastAsia="es-ES"/>
        </w:rPr>
      </w:pPr>
    </w:p>
    <w:p w:rsidR="00235952" w:rsidRPr="00FB166D" w:rsidRDefault="00235952" w:rsidP="00235952">
      <w:pPr>
        <w:widowControl/>
        <w:suppressAutoHyphens w:val="0"/>
        <w:jc w:val="both"/>
        <w:rPr>
          <w:rFonts w:ascii="Arial" w:eastAsia="Times New Roman" w:hAnsi="Arial" w:cs="Arial"/>
          <w:kern w:val="0"/>
          <w:lang w:val="es-ES" w:eastAsia="es-ES"/>
        </w:rPr>
      </w:pPr>
      <w:r w:rsidRPr="00FB166D">
        <w:rPr>
          <w:rFonts w:ascii="Arial" w:eastAsia="Times New Roman" w:hAnsi="Arial" w:cs="Arial"/>
          <w:kern w:val="0"/>
          <w:lang w:val="es-ES" w:eastAsia="es-ES"/>
        </w:rPr>
        <w:t xml:space="preserve">ANEXO </w:t>
      </w:r>
    </w:p>
    <w:p w:rsidR="00235952" w:rsidRPr="00FB166D" w:rsidRDefault="00235952" w:rsidP="00235952">
      <w:pPr>
        <w:widowControl/>
        <w:suppressAutoHyphens w:val="0"/>
        <w:jc w:val="both"/>
        <w:rPr>
          <w:rFonts w:ascii="Arial" w:eastAsia="Times New Roman" w:hAnsi="Arial" w:cs="Arial"/>
          <w:kern w:val="0"/>
          <w:lang w:val="es-ES" w:eastAsia="es-ES"/>
        </w:rPr>
      </w:pPr>
    </w:p>
    <w:p w:rsidR="00235952" w:rsidRPr="00FB166D" w:rsidRDefault="00235952" w:rsidP="00235952">
      <w:pPr>
        <w:widowControl/>
        <w:suppressAutoHyphens w:val="0"/>
        <w:jc w:val="both"/>
        <w:rPr>
          <w:rFonts w:ascii="Arial" w:eastAsia="Times New Roman" w:hAnsi="Arial" w:cs="Arial"/>
          <w:kern w:val="0"/>
          <w:lang w:val="es-ES" w:eastAsia="es-ES"/>
        </w:rPr>
      </w:pPr>
      <w:r w:rsidRPr="00FB166D">
        <w:rPr>
          <w:rFonts w:ascii="Arial" w:eastAsia="Times New Roman" w:hAnsi="Arial" w:cs="Arial"/>
          <w:kern w:val="0"/>
          <w:lang w:val="es-ES" w:eastAsia="es-ES"/>
        </w:rPr>
        <w:t>En el anexo XVII del Reglamento (CE) nº 1907/2006, se añade la entrada 63 siguiente:</w:t>
      </w:r>
    </w:p>
    <w:p w:rsidR="00235952" w:rsidRPr="00FB166D" w:rsidRDefault="00235952" w:rsidP="00235952">
      <w:pPr>
        <w:widowControl/>
        <w:suppressAutoHyphens w:val="0"/>
        <w:jc w:val="both"/>
        <w:rPr>
          <w:rFonts w:ascii="Arial" w:eastAsia="Times New Roman" w:hAnsi="Arial" w:cs="Arial"/>
          <w:kern w:val="0"/>
          <w:lang w:val="es-ES" w:eastAsia="es-ES"/>
        </w:rPr>
      </w:pPr>
    </w:p>
    <w:p w:rsidR="00235952" w:rsidRPr="00FB166D" w:rsidRDefault="00235952" w:rsidP="00235952">
      <w:pPr>
        <w:widowControl/>
        <w:suppressAutoHyphens w:val="0"/>
        <w:jc w:val="both"/>
        <w:rPr>
          <w:rFonts w:ascii="Arial" w:eastAsia="Times New Roman" w:hAnsi="Arial" w:cs="Arial"/>
          <w:kern w:val="0"/>
          <w:lang w:val="es-CO" w:eastAsia="es-ES"/>
        </w:rPr>
      </w:pPr>
      <w:r w:rsidRPr="00FB166D">
        <w:rPr>
          <w:rFonts w:ascii="Arial" w:eastAsia="Times New Roman" w:hAnsi="Arial" w:cs="Arial"/>
          <w:kern w:val="0"/>
          <w:lang w:val="es-CO" w:eastAsia="es-ES"/>
        </w:rPr>
        <w:t xml:space="preserve">63. Plomo </w:t>
      </w:r>
      <w:r w:rsidRPr="00FB166D">
        <w:rPr>
          <w:rFonts w:ascii="Arial" w:eastAsia="Times New Roman" w:hAnsi="Arial" w:cs="Arial"/>
          <w:kern w:val="0"/>
          <w:lang w:val="es-CO" w:eastAsia="es-ES"/>
        </w:rPr>
        <w:tab/>
        <w:t>Nº CAS 7439-92-1 / Nº CE 231-100-4 y sus compuestos:</w:t>
      </w:r>
    </w:p>
    <w:p w:rsidR="00235952" w:rsidRPr="00FB166D" w:rsidRDefault="00235952" w:rsidP="00235952">
      <w:pPr>
        <w:widowControl/>
        <w:suppressAutoHyphens w:val="0"/>
        <w:jc w:val="both"/>
        <w:rPr>
          <w:rFonts w:ascii="Arial" w:eastAsia="Times New Roman" w:hAnsi="Arial" w:cs="Arial"/>
          <w:kern w:val="0"/>
          <w:lang w:val="es-CO" w:eastAsia="es-ES"/>
        </w:rPr>
      </w:pPr>
      <w:r w:rsidRPr="00FB166D">
        <w:rPr>
          <w:rFonts w:ascii="Arial" w:eastAsia="Times New Roman" w:hAnsi="Arial" w:cs="Arial"/>
          <w:kern w:val="0"/>
          <w:lang w:val="es-CO" w:eastAsia="es-ES"/>
        </w:rPr>
        <w:lastRenderedPageBreak/>
        <w:t>No se utilizarán ni comercializarán si la concentración de plomo de cualquier parte de artículos de joyería y bisutería y de accesorios para el pelo es igual o superior a 0,05 % en peso, lo que incluye:</w:t>
      </w:r>
    </w:p>
    <w:p w:rsidR="00235952" w:rsidRPr="00FB166D" w:rsidRDefault="00235952" w:rsidP="00235952">
      <w:pPr>
        <w:widowControl/>
        <w:suppressAutoHyphens w:val="0"/>
        <w:jc w:val="both"/>
        <w:rPr>
          <w:rFonts w:ascii="Arial" w:eastAsia="Times New Roman" w:hAnsi="Arial" w:cs="Arial"/>
          <w:kern w:val="0"/>
          <w:lang w:val="es-CO" w:eastAsia="es-ES"/>
        </w:rPr>
      </w:pPr>
      <w:r w:rsidRPr="00FB166D">
        <w:rPr>
          <w:rFonts w:ascii="Arial" w:eastAsia="Times New Roman" w:hAnsi="Arial" w:cs="Arial"/>
          <w:kern w:val="0"/>
          <w:lang w:val="es-CO" w:eastAsia="es-ES"/>
        </w:rPr>
        <w:tab/>
        <w:t>a)</w:t>
      </w:r>
      <w:r w:rsidRPr="00FB166D">
        <w:rPr>
          <w:rFonts w:ascii="Arial" w:eastAsia="Times New Roman" w:hAnsi="Arial" w:cs="Arial"/>
          <w:kern w:val="0"/>
          <w:lang w:val="es-CO" w:eastAsia="es-ES"/>
        </w:rPr>
        <w:tab/>
        <w:t>brazaletes, collares y anillos;</w:t>
      </w:r>
    </w:p>
    <w:p w:rsidR="00235952" w:rsidRPr="00FB166D" w:rsidRDefault="00235952" w:rsidP="00235952">
      <w:pPr>
        <w:widowControl/>
        <w:suppressAutoHyphens w:val="0"/>
        <w:jc w:val="both"/>
        <w:rPr>
          <w:rFonts w:ascii="Arial" w:eastAsia="Times New Roman" w:hAnsi="Arial" w:cs="Arial"/>
          <w:kern w:val="0"/>
          <w:lang w:val="es-CO" w:eastAsia="es-ES"/>
        </w:rPr>
      </w:pPr>
      <w:r w:rsidRPr="00FB166D">
        <w:rPr>
          <w:rFonts w:ascii="Arial" w:eastAsia="Times New Roman" w:hAnsi="Arial" w:cs="Arial"/>
          <w:kern w:val="0"/>
          <w:lang w:val="es-CO" w:eastAsia="es-ES"/>
        </w:rPr>
        <w:tab/>
        <w:t>b)</w:t>
      </w:r>
      <w:r w:rsidRPr="00FB166D">
        <w:rPr>
          <w:rFonts w:ascii="Arial" w:eastAsia="Times New Roman" w:hAnsi="Arial" w:cs="Arial"/>
          <w:kern w:val="0"/>
          <w:lang w:val="es-CO" w:eastAsia="es-ES"/>
        </w:rPr>
        <w:tab/>
        <w:t>pírsines;</w:t>
      </w:r>
    </w:p>
    <w:p w:rsidR="00235952" w:rsidRPr="00FB166D" w:rsidRDefault="00235952" w:rsidP="00235952">
      <w:pPr>
        <w:widowControl/>
        <w:suppressAutoHyphens w:val="0"/>
        <w:jc w:val="both"/>
        <w:rPr>
          <w:rFonts w:ascii="Arial" w:eastAsia="Times New Roman" w:hAnsi="Arial" w:cs="Arial"/>
          <w:kern w:val="0"/>
          <w:lang w:val="es-CO" w:eastAsia="es-ES"/>
        </w:rPr>
      </w:pPr>
      <w:r w:rsidRPr="00FB166D">
        <w:rPr>
          <w:rFonts w:ascii="Arial" w:eastAsia="Times New Roman" w:hAnsi="Arial" w:cs="Arial"/>
          <w:kern w:val="0"/>
          <w:lang w:val="es-CO" w:eastAsia="es-ES"/>
        </w:rPr>
        <w:tab/>
        <w:t>c)</w:t>
      </w:r>
      <w:r w:rsidRPr="00FB166D">
        <w:rPr>
          <w:rFonts w:ascii="Arial" w:eastAsia="Times New Roman" w:hAnsi="Arial" w:cs="Arial"/>
          <w:kern w:val="0"/>
          <w:lang w:val="es-CO" w:eastAsia="es-ES"/>
        </w:rPr>
        <w:tab/>
        <w:t>relojes de pulsera y pulseras de cualquier tipo;</w:t>
      </w:r>
    </w:p>
    <w:p w:rsidR="00235952" w:rsidRPr="00FB166D" w:rsidRDefault="00235952" w:rsidP="00235952">
      <w:pPr>
        <w:widowControl/>
        <w:suppressAutoHyphens w:val="0"/>
        <w:jc w:val="both"/>
        <w:rPr>
          <w:rFonts w:ascii="Arial" w:eastAsia="Times New Roman" w:hAnsi="Arial" w:cs="Arial"/>
          <w:kern w:val="0"/>
          <w:lang w:val="es-CO" w:eastAsia="es-ES"/>
        </w:rPr>
      </w:pPr>
      <w:r w:rsidRPr="00FB166D">
        <w:rPr>
          <w:rFonts w:ascii="Arial" w:eastAsia="Times New Roman" w:hAnsi="Arial" w:cs="Arial"/>
          <w:kern w:val="0"/>
          <w:lang w:val="es-CO" w:eastAsia="es-ES"/>
        </w:rPr>
        <w:tab/>
        <w:t>d)</w:t>
      </w:r>
      <w:r w:rsidRPr="00FB166D">
        <w:rPr>
          <w:rFonts w:ascii="Arial" w:eastAsia="Times New Roman" w:hAnsi="Arial" w:cs="Arial"/>
          <w:kern w:val="0"/>
          <w:lang w:val="es-CO" w:eastAsia="es-ES"/>
        </w:rPr>
        <w:tab/>
        <w:t>broches y gemelos</w:t>
      </w:r>
    </w:p>
    <w:p w:rsidR="00981946" w:rsidRPr="00FB166D" w:rsidRDefault="00981946" w:rsidP="00235952">
      <w:pPr>
        <w:widowControl/>
        <w:suppressAutoHyphens w:val="0"/>
        <w:jc w:val="both"/>
        <w:rPr>
          <w:rFonts w:ascii="Arial" w:eastAsia="Times New Roman" w:hAnsi="Arial" w:cs="Arial"/>
          <w:kern w:val="0"/>
          <w:lang w:val="es-CO" w:eastAsia="es-ES"/>
        </w:rPr>
      </w:pPr>
    </w:p>
    <w:p w:rsidR="00981946" w:rsidRPr="00FB166D" w:rsidRDefault="00981946" w:rsidP="00235952">
      <w:pPr>
        <w:widowControl/>
        <w:suppressAutoHyphens w:val="0"/>
        <w:jc w:val="both"/>
        <w:rPr>
          <w:rFonts w:ascii="Arial" w:eastAsia="Times New Roman" w:hAnsi="Arial" w:cs="Arial"/>
          <w:kern w:val="0"/>
          <w:lang w:val="es-CO" w:eastAsia="es-ES"/>
        </w:rPr>
      </w:pPr>
      <w:r w:rsidRPr="00FB166D">
        <w:rPr>
          <w:rFonts w:ascii="Arial" w:eastAsia="Times New Roman" w:hAnsi="Arial" w:cs="Arial"/>
          <w:kern w:val="0"/>
          <w:lang w:val="es-CO" w:eastAsia="es-ES"/>
        </w:rPr>
        <w:t>… Sigue…</w:t>
      </w:r>
    </w:p>
    <w:p w:rsidR="00235952" w:rsidRPr="00FB166D" w:rsidRDefault="00235952" w:rsidP="001D3C29">
      <w:pPr>
        <w:widowControl/>
        <w:suppressAutoHyphens w:val="0"/>
        <w:jc w:val="both"/>
        <w:rPr>
          <w:rFonts w:ascii="Arial" w:eastAsia="Times New Roman" w:hAnsi="Arial" w:cs="Arial"/>
          <w:b/>
          <w:kern w:val="0"/>
          <w:lang w:val="es-ES" w:eastAsia="es-ES"/>
        </w:rPr>
      </w:pPr>
    </w:p>
    <w:p w:rsidR="00235952" w:rsidRPr="00FB166D" w:rsidRDefault="00235952" w:rsidP="001D3C29">
      <w:pPr>
        <w:widowControl/>
        <w:suppressAutoHyphens w:val="0"/>
        <w:jc w:val="both"/>
        <w:rPr>
          <w:rFonts w:ascii="Arial" w:eastAsia="Times New Roman" w:hAnsi="Arial" w:cs="Arial"/>
          <w:b/>
          <w:kern w:val="0"/>
          <w:lang w:val="es-ES" w:eastAsia="es-ES"/>
        </w:rPr>
      </w:pPr>
    </w:p>
    <w:p w:rsidR="00A42439" w:rsidRPr="00FB166D" w:rsidRDefault="00A42439" w:rsidP="001D3C29">
      <w:pPr>
        <w:widowControl/>
        <w:suppressAutoHyphens w:val="0"/>
        <w:jc w:val="both"/>
        <w:rPr>
          <w:rFonts w:ascii="Arial" w:eastAsia="Times New Roman" w:hAnsi="Arial" w:cs="Arial"/>
          <w:b/>
          <w:kern w:val="0"/>
          <w:lang w:val="es-ES" w:eastAsia="es-ES"/>
        </w:rPr>
      </w:pPr>
      <w:r w:rsidRPr="00FB166D">
        <w:rPr>
          <w:rFonts w:ascii="Arial" w:eastAsia="Times New Roman" w:hAnsi="Arial" w:cs="Arial"/>
          <w:b/>
          <w:kern w:val="0"/>
          <w:lang w:val="es-ES" w:eastAsia="es-ES"/>
        </w:rPr>
        <w:t>ESPAÑA</w:t>
      </w:r>
    </w:p>
    <w:p w:rsidR="00A42439" w:rsidRPr="00FB166D" w:rsidRDefault="00A42439" w:rsidP="001D3C29">
      <w:pPr>
        <w:widowControl/>
        <w:suppressAutoHyphens w:val="0"/>
        <w:jc w:val="both"/>
        <w:rPr>
          <w:rFonts w:ascii="Arial" w:eastAsia="Times New Roman" w:hAnsi="Arial" w:cs="Arial"/>
          <w:kern w:val="0"/>
          <w:lang w:val="es-ES" w:eastAsia="es-ES"/>
        </w:rPr>
      </w:pPr>
    </w:p>
    <w:p w:rsidR="00A42439" w:rsidRPr="00FB166D" w:rsidRDefault="00235952" w:rsidP="00235952">
      <w:pPr>
        <w:widowControl/>
        <w:suppressAutoHyphens w:val="0"/>
        <w:jc w:val="both"/>
        <w:rPr>
          <w:rFonts w:ascii="Arial" w:eastAsia="Times New Roman" w:hAnsi="Arial" w:cs="Arial"/>
          <w:i/>
          <w:kern w:val="0"/>
          <w:lang w:val="es-ES" w:eastAsia="es-ES"/>
        </w:rPr>
      </w:pPr>
      <w:r w:rsidRPr="00FB166D">
        <w:rPr>
          <w:rFonts w:ascii="Arial" w:eastAsia="Times New Roman" w:hAnsi="Arial" w:cs="Arial"/>
          <w:kern w:val="0"/>
          <w:lang w:val="es-ES" w:eastAsia="es-ES"/>
        </w:rPr>
        <w:t xml:space="preserve">En el Boletín Oficial del Estado - BOE (diario oficial del Estado español dedicado a la publicación de determinadas leyes, disposiciones y actos de inserción obligatoria), aparece la publicación: </w:t>
      </w:r>
      <w:r w:rsidRPr="00FB166D">
        <w:rPr>
          <w:rFonts w:ascii="Arial" w:eastAsia="Times New Roman" w:hAnsi="Arial" w:cs="Arial"/>
          <w:i/>
          <w:kern w:val="0"/>
          <w:lang w:val="es-ES" w:eastAsia="es-ES"/>
        </w:rPr>
        <w:t>ORDEN de 9 de abril de 1986 por la que se aprueba el Reglamento para la prevención de riesgos y protección de la salud de los trabajadores por la presencia de plomo metálico y sus compuestos iónicos en el ambiente de trabajo</w:t>
      </w:r>
      <w:r w:rsidR="00981946" w:rsidRPr="00FB166D">
        <w:rPr>
          <w:rFonts w:ascii="Arial" w:eastAsia="Times New Roman" w:hAnsi="Arial" w:cs="Arial"/>
          <w:i/>
          <w:kern w:val="0"/>
          <w:lang w:val="es-ES" w:eastAsia="es-ES"/>
        </w:rPr>
        <w:t>.</w:t>
      </w:r>
    </w:p>
    <w:p w:rsidR="001C6183" w:rsidRPr="00FB166D" w:rsidRDefault="001C6183" w:rsidP="00235952">
      <w:pPr>
        <w:widowControl/>
        <w:suppressAutoHyphens w:val="0"/>
        <w:jc w:val="both"/>
        <w:rPr>
          <w:rFonts w:ascii="Arial" w:eastAsia="Times New Roman" w:hAnsi="Arial" w:cs="Arial"/>
          <w:i/>
          <w:kern w:val="0"/>
          <w:lang w:val="es-ES" w:eastAsia="es-ES"/>
        </w:rPr>
      </w:pPr>
    </w:p>
    <w:p w:rsidR="001C6183" w:rsidRPr="00235952" w:rsidRDefault="00E433E2" w:rsidP="00E433E2">
      <w:pPr>
        <w:widowControl/>
        <w:suppressAutoHyphens w:val="0"/>
        <w:jc w:val="both"/>
        <w:rPr>
          <w:rFonts w:ascii="Arial" w:eastAsia="Times New Roman" w:hAnsi="Arial" w:cs="Arial"/>
          <w:i/>
          <w:kern w:val="0"/>
          <w:lang w:val="es-ES" w:eastAsia="es-ES"/>
        </w:rPr>
      </w:pPr>
      <w:r w:rsidRPr="00FB166D">
        <w:rPr>
          <w:rFonts w:ascii="Arial" w:eastAsia="Times New Roman" w:hAnsi="Arial" w:cs="Arial"/>
          <w:i/>
          <w:kern w:val="0"/>
          <w:lang w:val="es-ES" w:eastAsia="es-ES"/>
        </w:rPr>
        <w:t>En España existen las NTP son guías de buenas prácticas. Sus indicaciones no son obligatorias salvo que estén recogidas en una disposición normativa vigente. A efectos de valorar la pertinencia de las recomendaciones contenidas en una NTP concreta es conveniente tener en cuenta su fecha de edición. Por ejemplo existe la NTP 165: Plomo. Normas para su evaluación y control</w:t>
      </w:r>
    </w:p>
    <w:p w:rsidR="001D3C29" w:rsidRDefault="001D3C29" w:rsidP="001D3C29">
      <w:pPr>
        <w:widowControl/>
        <w:suppressAutoHyphens w:val="0"/>
        <w:jc w:val="both"/>
        <w:rPr>
          <w:rFonts w:ascii="Arial" w:eastAsia="Times New Roman" w:hAnsi="Arial" w:cs="Arial"/>
          <w:b/>
          <w:kern w:val="0"/>
          <w:lang w:val="es-ES" w:eastAsia="es-ES"/>
        </w:rPr>
      </w:pPr>
    </w:p>
    <w:p w:rsidR="00235952" w:rsidRPr="001D3C29" w:rsidRDefault="00235952" w:rsidP="001D3C29">
      <w:pPr>
        <w:widowControl/>
        <w:suppressAutoHyphens w:val="0"/>
        <w:jc w:val="both"/>
        <w:rPr>
          <w:rFonts w:ascii="Arial" w:eastAsia="Times New Roman" w:hAnsi="Arial" w:cs="Arial"/>
          <w:b/>
          <w:kern w:val="0"/>
          <w:lang w:val="es-ES" w:eastAsia="es-ES"/>
        </w:rPr>
      </w:pPr>
    </w:p>
    <w:p w:rsidR="001D3C29" w:rsidRPr="001D3C29" w:rsidRDefault="001D3C29" w:rsidP="001D3C29">
      <w:pPr>
        <w:widowControl/>
        <w:suppressAutoHyphens w:val="0"/>
        <w:spacing w:after="240"/>
        <w:jc w:val="both"/>
        <w:rPr>
          <w:rFonts w:ascii="Arial" w:eastAsia="Times New Roman" w:hAnsi="Arial" w:cs="Arial"/>
          <w:b/>
          <w:kern w:val="0"/>
          <w:lang w:val="es-ES" w:eastAsia="es-ES"/>
        </w:rPr>
      </w:pPr>
      <w:r w:rsidRPr="001D3C29">
        <w:rPr>
          <w:rFonts w:ascii="Arial" w:eastAsia="Times New Roman" w:hAnsi="Arial" w:cs="Arial"/>
          <w:b/>
          <w:kern w:val="0"/>
          <w:lang w:val="es-ES" w:eastAsia="es-ES"/>
        </w:rPr>
        <w:t>En Latinoamérica</w:t>
      </w:r>
    </w:p>
    <w:p w:rsidR="001D3C29" w:rsidRPr="001D3C29" w:rsidRDefault="001D3C29" w:rsidP="001D3C29">
      <w:pPr>
        <w:widowControl/>
        <w:suppressAutoHyphens w:val="0"/>
        <w:jc w:val="both"/>
        <w:rPr>
          <w:rFonts w:ascii="Arial" w:eastAsia="Times New Roman" w:hAnsi="Arial" w:cs="Arial"/>
          <w:kern w:val="0"/>
          <w:lang w:val="es-ES" w:eastAsia="es-ES"/>
        </w:rPr>
      </w:pPr>
      <w:r w:rsidRPr="001D3C29">
        <w:rPr>
          <w:rFonts w:ascii="Arial" w:eastAsia="Times New Roman" w:hAnsi="Arial" w:cs="Arial"/>
          <w:b/>
          <w:kern w:val="0"/>
          <w:lang w:val="es-ES" w:eastAsia="es-ES"/>
        </w:rPr>
        <w:t>México.</w:t>
      </w:r>
      <w:r w:rsidRPr="001D3C29">
        <w:rPr>
          <w:rFonts w:ascii="Arial" w:eastAsia="Times New Roman" w:hAnsi="Arial" w:cs="Arial"/>
          <w:kern w:val="0"/>
          <w:lang w:val="es-ES" w:eastAsia="es-ES"/>
        </w:rPr>
        <w:t xml:space="preserve"> La norma oficial mexicana NOM-199-SSA1-2000, de salud ambiental, trata sobre los niveles de plomo en sangre y criterios para proteger la salud de la población expuesta no ocupacionalmente, donde su objetivo básico es establecer los niveles de plomo, las acciones básicas de prevención y control en la población, categorizada como niños menores de 15 años, mujeres embarazadas y en período de lactancia, y para todas aquellas personas no expuestas ocupacionalmente a este agente tóxico. En esta norma, también propone que los métodos de prueba para la determinación de plomo en sangre a través de espectrofotometría de absorción atómica con horno de grafito y voltamperometría de redisolución anódica, los cuales deben ser utilizados por los laboratorios que realicen el análisis para la determinación de plomo (Norma Oficial Mexicana).     </w:t>
      </w:r>
    </w:p>
    <w:p w:rsidR="001D3C29" w:rsidRPr="001D3C29" w:rsidRDefault="001D3C29" w:rsidP="001D3C29">
      <w:pPr>
        <w:widowControl/>
        <w:suppressAutoHyphens w:val="0"/>
        <w:jc w:val="both"/>
        <w:rPr>
          <w:rFonts w:ascii="Arial" w:eastAsia="Times New Roman" w:hAnsi="Arial" w:cs="Arial"/>
          <w:kern w:val="0"/>
          <w:lang w:val="es-ES" w:eastAsia="es-ES"/>
        </w:rPr>
      </w:pPr>
    </w:p>
    <w:p w:rsidR="001D3C29" w:rsidRPr="001D3C29" w:rsidRDefault="001D3C29" w:rsidP="001D3C29">
      <w:pPr>
        <w:widowControl/>
        <w:suppressAutoHyphens w:val="0"/>
        <w:jc w:val="both"/>
        <w:rPr>
          <w:rFonts w:ascii="Arial" w:eastAsia="Times New Roman" w:hAnsi="Arial" w:cs="Arial"/>
          <w:kern w:val="0"/>
          <w:lang w:val="es-ES" w:eastAsia="es-ES"/>
        </w:rPr>
      </w:pPr>
      <w:r w:rsidRPr="001D3C29">
        <w:rPr>
          <w:rFonts w:ascii="Arial" w:eastAsia="Times New Roman" w:hAnsi="Arial" w:cs="Arial"/>
          <w:b/>
          <w:kern w:val="0"/>
          <w:lang w:val="es-ES" w:eastAsia="es-ES"/>
        </w:rPr>
        <w:t xml:space="preserve">Colombia. </w:t>
      </w:r>
      <w:r w:rsidRPr="001D3C29">
        <w:rPr>
          <w:rFonts w:ascii="Arial" w:eastAsia="Times New Roman" w:hAnsi="Arial" w:cs="Arial"/>
          <w:kern w:val="0"/>
          <w:lang w:val="es-ES" w:eastAsia="es-ES"/>
        </w:rPr>
        <w:t xml:space="preserve">En nuestro país, el hoy Ministerio de Ambiente, Vivienda y Desarrollo Territorial (MAVDT), es la entidad pública del orden nacional encargada de contribuir y promover acciones orientadas al desarrollo sostenible, a través de la formulación, adopción e instrumentación técnica y normativa de políticas, bajo los principios de participación e integridad de la gestión pública. La institución en el año 2005, publica las Guías de Manejo Seguro y Gestión Ambiental de 25 </w:t>
      </w:r>
      <w:r w:rsidRPr="001D3C29">
        <w:rPr>
          <w:rFonts w:ascii="Arial" w:eastAsia="Times New Roman" w:hAnsi="Arial" w:cs="Arial"/>
          <w:kern w:val="0"/>
          <w:lang w:val="es-ES" w:eastAsia="es-ES"/>
        </w:rPr>
        <w:lastRenderedPageBreak/>
        <w:t>Sustancias Químicas, en el cual se contempla el monóxido de plomo (PbO), como una sustancia con efectos adversos en la mayoría de órganos y sistemas, a nivel intracelular y dependiendo del nivel de duración de la exposición se presenta desde inhibición de enzimas hasta cambios morfológicos marcados que pueden causar la muerte, siendo los niños la población más vulnerables a sus efectos (SIAME 2011).</w:t>
      </w:r>
    </w:p>
    <w:p w:rsidR="001D3C29" w:rsidRPr="001D3C29" w:rsidRDefault="001D3C29" w:rsidP="001D3C29">
      <w:pPr>
        <w:widowControl/>
        <w:suppressAutoHyphens w:val="0"/>
        <w:jc w:val="both"/>
        <w:rPr>
          <w:rFonts w:ascii="Arial" w:eastAsia="Times New Roman" w:hAnsi="Arial" w:cs="Arial"/>
          <w:kern w:val="0"/>
          <w:lang w:val="es-ES" w:eastAsia="es-ES"/>
        </w:rPr>
      </w:pPr>
    </w:p>
    <w:p w:rsidR="001D3C29" w:rsidRPr="001D3C29" w:rsidRDefault="001D3C29" w:rsidP="001D3C29">
      <w:pPr>
        <w:widowControl/>
        <w:suppressAutoHyphens w:val="0"/>
        <w:rPr>
          <w:rFonts w:ascii="Arial" w:eastAsia="Times New Roman" w:hAnsi="Arial" w:cs="Arial"/>
          <w:b/>
          <w:kern w:val="0"/>
          <w:lang w:val="es-ES" w:eastAsia="es-ES"/>
        </w:rPr>
      </w:pPr>
    </w:p>
    <w:p w:rsidR="001D3C29" w:rsidRPr="001D3C29" w:rsidRDefault="001D3C29" w:rsidP="001D3C29">
      <w:pPr>
        <w:widowControl/>
        <w:suppressAutoHyphens w:val="0"/>
        <w:spacing w:after="240"/>
        <w:jc w:val="both"/>
        <w:rPr>
          <w:rFonts w:ascii="Arial" w:eastAsia="Times New Roman" w:hAnsi="Arial" w:cs="Arial"/>
          <w:b/>
          <w:kern w:val="0"/>
          <w:lang w:val="es-ES" w:eastAsia="es-ES"/>
        </w:rPr>
      </w:pPr>
      <w:r w:rsidRPr="001D3C29">
        <w:rPr>
          <w:rFonts w:ascii="Arial" w:eastAsia="Times New Roman" w:hAnsi="Arial" w:cs="Arial"/>
          <w:b/>
          <w:kern w:val="0"/>
          <w:lang w:val="es-ES" w:eastAsia="es-ES"/>
        </w:rPr>
        <w:t>Necesidad de una ley que regule los niveles de plomo presentes en la sangre de niños y los roles que deben asumi</w:t>
      </w:r>
      <w:r w:rsidR="00844246">
        <w:rPr>
          <w:rFonts w:ascii="Arial" w:eastAsia="Times New Roman" w:hAnsi="Arial" w:cs="Arial"/>
          <w:b/>
          <w:kern w:val="0"/>
          <w:lang w:val="es-ES" w:eastAsia="es-ES"/>
        </w:rPr>
        <w:t>r la familia, la sociedad y el E</w:t>
      </w:r>
      <w:r w:rsidRPr="001D3C29">
        <w:rPr>
          <w:rFonts w:ascii="Arial" w:eastAsia="Times New Roman" w:hAnsi="Arial" w:cs="Arial"/>
          <w:b/>
          <w:kern w:val="0"/>
          <w:lang w:val="es-ES" w:eastAsia="es-ES"/>
        </w:rPr>
        <w:t>stado frente a su tratamiento.</w:t>
      </w:r>
    </w:p>
    <w:p w:rsidR="001D3C29" w:rsidRPr="001D3C29" w:rsidRDefault="001D3C29" w:rsidP="001D3C29">
      <w:pPr>
        <w:widowControl/>
        <w:suppressAutoHyphens w:val="0"/>
        <w:jc w:val="both"/>
        <w:rPr>
          <w:rFonts w:ascii="Arial" w:eastAsia="Times New Roman" w:hAnsi="Arial" w:cs="Arial"/>
          <w:kern w:val="0"/>
          <w:lang w:val="es-ES" w:eastAsia="es-ES"/>
        </w:rPr>
      </w:pPr>
      <w:r w:rsidRPr="001D3C29">
        <w:rPr>
          <w:rFonts w:ascii="Arial" w:eastAsia="Times New Roman" w:hAnsi="Arial" w:cs="Arial"/>
          <w:kern w:val="0"/>
          <w:lang w:val="es-ES" w:eastAsia="es-ES"/>
        </w:rPr>
        <w:t xml:space="preserve">La justificación de esta ley, se basa, en que la presencia de plomo en la sangre de los niños, trae como consecuencia un sinnúmero de eventos adversos sobre su salud. Aunque se ha reportado que el envenenamiento por plomo también puede afectar a los adultos, la mayor preocupación se centra en los niños, debido a que estos experimentan mayores riesgos a niveles bajos de exposición. Además, los niños tienden a desarrollar problemas permanentes de desarrollo y neurológicos cuando son expuestos crónicamente al plomo, mientras que muchos de los síntomas experimentados por los adultos se invierten cuando la exposición es eliminada (Godwin, 2001). </w:t>
      </w:r>
    </w:p>
    <w:p w:rsidR="001D3C29" w:rsidRPr="001D3C29" w:rsidRDefault="001D3C29" w:rsidP="001D3C29">
      <w:pPr>
        <w:widowControl/>
        <w:suppressAutoHyphens w:val="0"/>
        <w:jc w:val="both"/>
        <w:rPr>
          <w:rFonts w:ascii="Arial" w:eastAsia="Times New Roman" w:hAnsi="Arial" w:cs="Arial"/>
          <w:kern w:val="0"/>
          <w:lang w:val="es-ES" w:eastAsia="es-ES"/>
        </w:rPr>
      </w:pPr>
    </w:p>
    <w:p w:rsidR="001D3C29" w:rsidRPr="001D3C29" w:rsidRDefault="001D3C29" w:rsidP="001D3C29">
      <w:pPr>
        <w:widowControl/>
        <w:suppressAutoHyphens w:val="0"/>
        <w:jc w:val="both"/>
        <w:rPr>
          <w:rFonts w:ascii="Arial" w:eastAsia="Times New Roman" w:hAnsi="Arial" w:cs="Arial"/>
          <w:kern w:val="0"/>
          <w:lang w:val="es-ES" w:eastAsia="es-ES"/>
        </w:rPr>
      </w:pPr>
      <w:r w:rsidRPr="001D3C29">
        <w:rPr>
          <w:rFonts w:ascii="Arial" w:eastAsia="Times New Roman" w:hAnsi="Arial" w:cs="Arial"/>
          <w:kern w:val="0"/>
          <w:lang w:val="es-ES" w:eastAsia="es-ES"/>
        </w:rPr>
        <w:t>Otro de los efectos que produce la intoxicación por plomo son los problemas de comportamiento, aunque el desarrollo de la conducta antisocial, delincuencia durante la infancia y la adolescencia es un producto de múltiples variables, existe una creciente evidencia de que la toxicidad del plomo tiene un papel en su epigénesis y se ha reportado que niveles de plomo en sangre mayores de 10-15 µg/dL se han asociado con patrones agresivos y comportamientos antisociales (Lanphear et al., 2003).</w:t>
      </w:r>
    </w:p>
    <w:p w:rsidR="001D3C29" w:rsidRPr="001D3C29" w:rsidRDefault="001D3C29" w:rsidP="001D3C29">
      <w:pPr>
        <w:widowControl/>
        <w:suppressAutoHyphens w:val="0"/>
        <w:jc w:val="both"/>
        <w:rPr>
          <w:rFonts w:ascii="Arial" w:eastAsia="Times New Roman" w:hAnsi="Arial" w:cs="Arial"/>
          <w:kern w:val="0"/>
          <w:lang w:val="es-ES" w:eastAsia="es-ES"/>
        </w:rPr>
      </w:pPr>
    </w:p>
    <w:p w:rsidR="001D3C29" w:rsidRPr="001D3C29" w:rsidRDefault="001D3C29" w:rsidP="001D3C29">
      <w:pPr>
        <w:widowControl/>
        <w:suppressAutoHyphens w:val="0"/>
        <w:jc w:val="both"/>
        <w:rPr>
          <w:rFonts w:ascii="Arial" w:eastAsia="Times New Roman" w:hAnsi="Arial" w:cs="Arial"/>
          <w:kern w:val="0"/>
          <w:lang w:val="es-ES" w:eastAsia="es-ES"/>
        </w:rPr>
      </w:pPr>
      <w:r w:rsidRPr="001D3C29">
        <w:rPr>
          <w:rFonts w:ascii="Arial" w:eastAsia="Times New Roman" w:hAnsi="Arial" w:cs="Arial"/>
          <w:kern w:val="0"/>
          <w:lang w:val="es-ES" w:eastAsia="es-ES"/>
        </w:rPr>
        <w:t>Los beneficios de introducir este tipo de ley llevarían a las entidades gubernamentales a realizar cambios en sus políticas ambientales para desarrollar procesos de prevención primaria y con claros objetivos que permitan disminuir las fuentes emisoras de plomo. Estudios realizados en Estados Unidos, que por cada 1 µg/dL disminuido en los niveles de sangre, habrían 635000 personas menos con hipertensión, 3200 menos con infartos de miocardio y 3300 menos muertes anuales. Con la implementación de estas medidas se busca reducir las probabilidades de enfermedades cardiovasculares en niños, la caries dental vinculada con la exposición al plomo siendo esta la causa de 2.5 millones de casos de caries en los estados Unidos. Otros problemas importantes relacionados con la exposición al plomo, incluyen abortos espontáneos y nacimientos prematuros, daño en el desarrollo motor, retraso del crecimiento, entre otros (Lanphear et al., 2003).</w:t>
      </w:r>
    </w:p>
    <w:p w:rsidR="001D3C29" w:rsidRDefault="001D3C29" w:rsidP="001D3C29">
      <w:pPr>
        <w:widowControl/>
        <w:suppressAutoHyphens w:val="0"/>
        <w:jc w:val="both"/>
        <w:rPr>
          <w:rFonts w:ascii="Arial" w:eastAsia="Times New Roman" w:hAnsi="Arial" w:cs="Arial"/>
          <w:b/>
          <w:kern w:val="0"/>
          <w:lang w:val="es-ES" w:eastAsia="es-ES"/>
        </w:rPr>
      </w:pPr>
    </w:p>
    <w:p w:rsidR="003D6A1A" w:rsidRDefault="003D6A1A" w:rsidP="001D3C29">
      <w:pPr>
        <w:widowControl/>
        <w:suppressAutoHyphens w:val="0"/>
        <w:jc w:val="both"/>
        <w:rPr>
          <w:rFonts w:ascii="Arial" w:eastAsia="Times New Roman" w:hAnsi="Arial" w:cs="Arial"/>
          <w:b/>
          <w:kern w:val="0"/>
          <w:lang w:val="es-ES" w:eastAsia="es-ES"/>
        </w:rPr>
      </w:pPr>
    </w:p>
    <w:p w:rsidR="003D6A1A" w:rsidRDefault="003D6A1A" w:rsidP="001D3C29">
      <w:pPr>
        <w:widowControl/>
        <w:suppressAutoHyphens w:val="0"/>
        <w:jc w:val="both"/>
        <w:rPr>
          <w:rFonts w:ascii="Arial" w:eastAsia="Times New Roman" w:hAnsi="Arial" w:cs="Arial"/>
          <w:b/>
          <w:kern w:val="0"/>
          <w:lang w:val="es-ES" w:eastAsia="es-ES"/>
        </w:rPr>
      </w:pPr>
    </w:p>
    <w:p w:rsidR="003D6A1A" w:rsidRDefault="003D6A1A" w:rsidP="001D3C29">
      <w:pPr>
        <w:widowControl/>
        <w:suppressAutoHyphens w:val="0"/>
        <w:jc w:val="both"/>
        <w:rPr>
          <w:rFonts w:ascii="Arial" w:eastAsia="Times New Roman" w:hAnsi="Arial" w:cs="Arial"/>
          <w:b/>
          <w:kern w:val="0"/>
          <w:lang w:val="es-ES" w:eastAsia="es-ES"/>
        </w:rPr>
      </w:pPr>
    </w:p>
    <w:p w:rsidR="003D6A1A" w:rsidRDefault="003D6A1A" w:rsidP="001D3C29">
      <w:pPr>
        <w:widowControl/>
        <w:suppressAutoHyphens w:val="0"/>
        <w:jc w:val="both"/>
        <w:rPr>
          <w:rFonts w:ascii="Arial" w:eastAsia="Times New Roman" w:hAnsi="Arial" w:cs="Arial"/>
          <w:b/>
          <w:kern w:val="0"/>
          <w:lang w:val="es-ES" w:eastAsia="es-ES"/>
        </w:rPr>
      </w:pPr>
    </w:p>
    <w:p w:rsidR="003D6A1A" w:rsidRPr="001D3C29" w:rsidRDefault="003D6A1A" w:rsidP="001D3C29">
      <w:pPr>
        <w:widowControl/>
        <w:suppressAutoHyphens w:val="0"/>
        <w:jc w:val="both"/>
        <w:rPr>
          <w:rFonts w:ascii="Arial" w:eastAsia="Times New Roman" w:hAnsi="Arial" w:cs="Arial"/>
          <w:b/>
          <w:kern w:val="0"/>
          <w:lang w:val="es-ES" w:eastAsia="es-ES"/>
        </w:rPr>
      </w:pPr>
    </w:p>
    <w:p w:rsidR="001D3C29" w:rsidRPr="001D3C29" w:rsidRDefault="001D3C29" w:rsidP="001D3C29">
      <w:pPr>
        <w:widowControl/>
        <w:suppressAutoHyphens w:val="0"/>
        <w:jc w:val="both"/>
        <w:rPr>
          <w:rFonts w:ascii="Arial" w:eastAsia="Times New Roman" w:hAnsi="Arial" w:cs="Arial"/>
          <w:b/>
          <w:kern w:val="0"/>
          <w:lang w:val="es-ES" w:eastAsia="es-ES"/>
        </w:rPr>
      </w:pPr>
      <w:r w:rsidRPr="001D3C29">
        <w:rPr>
          <w:rFonts w:ascii="Arial" w:eastAsia="Times New Roman" w:hAnsi="Arial" w:cs="Arial"/>
          <w:b/>
          <w:kern w:val="0"/>
          <w:lang w:val="es-ES" w:eastAsia="es-ES"/>
        </w:rPr>
        <w:t xml:space="preserve">Beneficios introducidos por esta Ley </w:t>
      </w:r>
    </w:p>
    <w:p w:rsidR="001D3C29" w:rsidRPr="001D3C29" w:rsidRDefault="001D3C29" w:rsidP="001D3C29">
      <w:pPr>
        <w:widowControl/>
        <w:suppressAutoHyphens w:val="0"/>
        <w:jc w:val="both"/>
        <w:rPr>
          <w:rFonts w:ascii="Arial" w:eastAsia="Times New Roman" w:hAnsi="Arial" w:cs="Arial"/>
          <w:kern w:val="0"/>
          <w:lang w:val="es-ES" w:eastAsia="es-ES"/>
        </w:rPr>
      </w:pPr>
    </w:p>
    <w:p w:rsidR="001D3C29" w:rsidRPr="001D3C29" w:rsidRDefault="001D3C29" w:rsidP="001D3C29">
      <w:pPr>
        <w:widowControl/>
        <w:suppressAutoHyphens w:val="0"/>
        <w:jc w:val="both"/>
        <w:rPr>
          <w:rFonts w:ascii="Arial" w:eastAsia="Times New Roman" w:hAnsi="Arial" w:cs="Arial"/>
          <w:kern w:val="0"/>
          <w:lang w:val="es-ES" w:eastAsia="es-ES"/>
        </w:rPr>
      </w:pPr>
      <w:r w:rsidRPr="001D3C29">
        <w:rPr>
          <w:rFonts w:ascii="Arial" w:eastAsia="Times New Roman" w:hAnsi="Arial" w:cs="Arial"/>
          <w:kern w:val="0"/>
          <w:lang w:val="es-ES" w:eastAsia="es-ES"/>
        </w:rPr>
        <w:t>En conjunto, los resultados de estos estudios y lo anteriormente expuesto, sostienen que los esfuerzos en nuestro país deberían estar encaminados a prevenir trastornos asociados con la exposición al plomo y hacer énfasis en la prevención primaria, con el fin de evitar futuras muertes y afecciones de la población infantil.</w:t>
      </w:r>
    </w:p>
    <w:p w:rsidR="001D3C29" w:rsidRPr="001D3C29" w:rsidRDefault="001D3C29" w:rsidP="001D3C29">
      <w:pPr>
        <w:widowControl/>
        <w:suppressAutoHyphens w:val="0"/>
        <w:jc w:val="both"/>
        <w:rPr>
          <w:rFonts w:ascii="Arial" w:eastAsia="Times New Roman" w:hAnsi="Arial" w:cs="Arial"/>
          <w:b/>
          <w:kern w:val="0"/>
          <w:lang w:val="es-ES" w:eastAsia="es-ES"/>
        </w:rPr>
      </w:pPr>
    </w:p>
    <w:p w:rsidR="001D3C29" w:rsidRPr="001D3C29" w:rsidRDefault="001D3C29" w:rsidP="001D3C29">
      <w:pPr>
        <w:widowControl/>
        <w:suppressAutoHyphens w:val="0"/>
        <w:jc w:val="both"/>
        <w:rPr>
          <w:rFonts w:ascii="Arial" w:eastAsia="Times New Roman" w:hAnsi="Arial" w:cs="Arial"/>
          <w:kern w:val="0"/>
          <w:lang w:val="es-ES" w:eastAsia="es-ES"/>
        </w:rPr>
      </w:pPr>
      <w:r w:rsidRPr="001D3C29">
        <w:rPr>
          <w:rFonts w:ascii="Arial" w:eastAsia="Times New Roman" w:hAnsi="Arial" w:cs="Arial"/>
          <w:kern w:val="0"/>
          <w:lang w:val="es-ES" w:eastAsia="es-ES"/>
        </w:rPr>
        <w:t xml:space="preserve">Esta ley beneficiará a la niñez colombiana, ya que a nivel mundial la presencia de plomo en sangre en los niños es considerado un problema de salud pública. Al tiempo, este proyecto de ley establecerá la preocupación de implementar medidas primarias para la prevención de intoxicaciones por plomo y establecer políticas para la búsqueda y posterior eliminación de las principales fuentes de propagación de este metal en el ambiente circundante.  </w:t>
      </w:r>
    </w:p>
    <w:p w:rsidR="001D3C29" w:rsidRPr="001D3C29" w:rsidRDefault="001D3C29" w:rsidP="001D3C29">
      <w:pPr>
        <w:widowControl/>
        <w:suppressAutoHyphens w:val="0"/>
        <w:rPr>
          <w:rFonts w:ascii="Arial" w:eastAsia="Times New Roman" w:hAnsi="Arial" w:cs="Arial"/>
          <w:b/>
          <w:kern w:val="0"/>
          <w:lang w:val="es-CO" w:eastAsia="es-ES"/>
        </w:rPr>
      </w:pPr>
    </w:p>
    <w:p w:rsidR="001D3C29" w:rsidRPr="001D3C29" w:rsidRDefault="001D3C29" w:rsidP="001D3C29">
      <w:pPr>
        <w:widowControl/>
        <w:suppressAutoHyphens w:val="0"/>
        <w:rPr>
          <w:rFonts w:ascii="Arial" w:eastAsia="Times New Roman" w:hAnsi="Arial" w:cs="Arial"/>
          <w:b/>
          <w:kern w:val="0"/>
          <w:lang w:val="es-CO" w:eastAsia="es-ES"/>
        </w:rPr>
      </w:pPr>
    </w:p>
    <w:p w:rsidR="001D3C29" w:rsidRPr="001D3C29" w:rsidRDefault="001D3C29" w:rsidP="001D3C29">
      <w:pPr>
        <w:widowControl/>
        <w:suppressAutoHyphens w:val="0"/>
        <w:jc w:val="both"/>
        <w:rPr>
          <w:rFonts w:ascii="Arial" w:eastAsia="Times New Roman" w:hAnsi="Arial" w:cs="Arial"/>
          <w:b/>
          <w:kern w:val="0"/>
          <w:lang w:val="en-US" w:eastAsia="es-ES"/>
        </w:rPr>
      </w:pPr>
      <w:r w:rsidRPr="001D3C29">
        <w:rPr>
          <w:rFonts w:ascii="Arial" w:eastAsia="Times New Roman" w:hAnsi="Arial" w:cs="Arial"/>
          <w:b/>
          <w:kern w:val="0"/>
          <w:lang w:val="en-US" w:eastAsia="es-ES"/>
        </w:rPr>
        <w:t xml:space="preserve">REFERENCIAS </w:t>
      </w:r>
    </w:p>
    <w:p w:rsidR="001D3C29" w:rsidRPr="001D3C29" w:rsidRDefault="001D3C29" w:rsidP="001D3C29">
      <w:pPr>
        <w:widowControl/>
        <w:numPr>
          <w:ilvl w:val="0"/>
          <w:numId w:val="43"/>
        </w:numPr>
        <w:suppressAutoHyphens w:val="0"/>
        <w:spacing w:before="240"/>
        <w:ind w:left="284" w:hanging="284"/>
        <w:jc w:val="both"/>
        <w:rPr>
          <w:rFonts w:ascii="Arial" w:eastAsia="Times New Roman" w:hAnsi="Arial" w:cs="Arial"/>
          <w:kern w:val="0"/>
          <w:lang w:val="es-CO" w:eastAsia="es-ES"/>
        </w:rPr>
      </w:pPr>
      <w:r w:rsidRPr="001D3C29">
        <w:rPr>
          <w:rFonts w:ascii="Arial" w:eastAsia="Times New Roman" w:hAnsi="Arial" w:cs="Arial"/>
          <w:kern w:val="0"/>
          <w:lang w:val="es-CO" w:eastAsia="es-ES"/>
        </w:rPr>
        <w:t>ATSDR. Agencia para Sustancias Tóxicas y el Registro de Enfermedades. 2007a. La toxicidad del plomo ¿Cuáles son las normas de niveles de plomo en Estados Unidos? Disponible en: http://www.atsdr.cdc.gov/es/csem/plomo/es_pbnormas.html.</w:t>
      </w:r>
    </w:p>
    <w:p w:rsidR="001D3C29" w:rsidRPr="001D3C29" w:rsidRDefault="001D3C29" w:rsidP="001D3C29">
      <w:pPr>
        <w:widowControl/>
        <w:numPr>
          <w:ilvl w:val="0"/>
          <w:numId w:val="43"/>
        </w:numPr>
        <w:suppressAutoHyphens w:val="0"/>
        <w:spacing w:before="240"/>
        <w:ind w:left="284" w:hanging="284"/>
        <w:jc w:val="both"/>
        <w:rPr>
          <w:rFonts w:ascii="Arial" w:eastAsia="Times New Roman" w:hAnsi="Arial" w:cs="Arial"/>
          <w:kern w:val="0"/>
          <w:lang w:val="es-CO" w:eastAsia="es-ES"/>
        </w:rPr>
      </w:pPr>
      <w:r w:rsidRPr="001D3C29">
        <w:rPr>
          <w:rFonts w:ascii="Arial" w:eastAsia="Times New Roman" w:hAnsi="Arial" w:cs="Arial"/>
          <w:kern w:val="0"/>
          <w:lang w:val="es-CO" w:eastAsia="es-ES"/>
        </w:rPr>
        <w:t>ATSDR. Agencia para Sustancias Tóxicas y el Registro de Enfermedades. 2007b. Reseña Toxicológica del Plomo (versión actualizada) (en inglés). Atlanta, GA: Departamento de Salud y Servicios Humanos de EE. UU., Servicio de Salud Pública. Disponible en: http://www.atsdr.cdc.gov/es/toxfaqs/es_tfacts13.html.</w:t>
      </w:r>
    </w:p>
    <w:p w:rsidR="001D3C29" w:rsidRPr="001D3C29" w:rsidRDefault="001D3C29" w:rsidP="001D3C29">
      <w:pPr>
        <w:widowControl/>
        <w:numPr>
          <w:ilvl w:val="0"/>
          <w:numId w:val="43"/>
        </w:numPr>
        <w:suppressAutoHyphens w:val="0"/>
        <w:spacing w:before="240"/>
        <w:ind w:left="284" w:hanging="284"/>
        <w:jc w:val="both"/>
        <w:rPr>
          <w:rFonts w:ascii="Arial" w:eastAsia="Times New Roman" w:hAnsi="Arial" w:cs="Arial"/>
          <w:kern w:val="0"/>
          <w:lang w:val="en-US" w:eastAsia="es-ES"/>
        </w:rPr>
      </w:pPr>
      <w:r w:rsidRPr="001D3C29">
        <w:rPr>
          <w:rFonts w:ascii="Arial" w:eastAsia="Times New Roman" w:hAnsi="Arial" w:cs="Arial"/>
          <w:kern w:val="0"/>
          <w:lang w:val="en-US" w:eastAsia="es-ES"/>
        </w:rPr>
        <w:t>Barry, P.S. 1975. A comparison of concentrations of lead in human tissue. Br. J. Ind. Med. 32(2):119-139.</w:t>
      </w:r>
    </w:p>
    <w:p w:rsidR="001D3C29" w:rsidRPr="001D3C29" w:rsidRDefault="001D3C29" w:rsidP="001D3C29">
      <w:pPr>
        <w:widowControl/>
        <w:numPr>
          <w:ilvl w:val="0"/>
          <w:numId w:val="43"/>
        </w:numPr>
        <w:suppressAutoHyphens w:val="0"/>
        <w:spacing w:before="240"/>
        <w:ind w:left="284" w:hanging="284"/>
        <w:jc w:val="both"/>
        <w:rPr>
          <w:rFonts w:ascii="Arial" w:eastAsia="Times New Roman" w:hAnsi="Arial" w:cs="Arial"/>
          <w:kern w:val="0"/>
          <w:lang w:val="en-US" w:eastAsia="es-ES"/>
        </w:rPr>
      </w:pPr>
      <w:r w:rsidRPr="001D3C29">
        <w:rPr>
          <w:rFonts w:ascii="Arial" w:eastAsia="Times New Roman" w:hAnsi="Arial" w:cs="Arial"/>
          <w:kern w:val="0"/>
          <w:lang w:val="en-US" w:eastAsia="es-ES"/>
        </w:rPr>
        <w:t>Bellinger, D.C. 2004. Assessing environmental neurotoxicant exposures and child neurobehavior: confounded by confounding? Epidemiology.15:383-384.</w:t>
      </w:r>
    </w:p>
    <w:p w:rsidR="001D3C29" w:rsidRPr="001D3C29" w:rsidRDefault="001D3C29" w:rsidP="001D3C29">
      <w:pPr>
        <w:widowControl/>
        <w:numPr>
          <w:ilvl w:val="0"/>
          <w:numId w:val="43"/>
        </w:numPr>
        <w:suppressAutoHyphens w:val="0"/>
        <w:spacing w:before="240"/>
        <w:ind w:left="284" w:hanging="284"/>
        <w:jc w:val="both"/>
        <w:rPr>
          <w:rFonts w:ascii="Arial" w:eastAsia="Times New Roman" w:hAnsi="Arial" w:cs="Arial"/>
          <w:kern w:val="0"/>
          <w:lang w:val="en-US" w:eastAsia="es-ES"/>
        </w:rPr>
      </w:pPr>
      <w:r w:rsidRPr="001D3C29">
        <w:rPr>
          <w:rFonts w:ascii="Arial" w:eastAsia="Times New Roman" w:hAnsi="Arial" w:cs="Arial"/>
          <w:kern w:val="0"/>
          <w:lang w:val="en-US" w:eastAsia="es-ES"/>
        </w:rPr>
        <w:t>Bellinger, D.C. 2008.Very low lead exposures and childrenŽs neurodevelopment. CurrOpinPediatr. 20(2): 172-77.</w:t>
      </w:r>
    </w:p>
    <w:p w:rsidR="001D3C29" w:rsidRPr="001D3C29" w:rsidRDefault="001D3C29" w:rsidP="001D3C29">
      <w:pPr>
        <w:widowControl/>
        <w:numPr>
          <w:ilvl w:val="0"/>
          <w:numId w:val="43"/>
        </w:numPr>
        <w:suppressAutoHyphens w:val="0"/>
        <w:spacing w:before="240"/>
        <w:ind w:left="284" w:hanging="284"/>
        <w:jc w:val="both"/>
        <w:rPr>
          <w:rFonts w:ascii="Arial" w:eastAsia="Times New Roman" w:hAnsi="Arial" w:cs="Arial"/>
          <w:kern w:val="0"/>
          <w:lang w:val="en-US" w:eastAsia="es-ES"/>
        </w:rPr>
      </w:pPr>
      <w:r w:rsidRPr="001D3C29">
        <w:rPr>
          <w:rFonts w:ascii="Arial" w:eastAsia="Times New Roman" w:hAnsi="Arial" w:cs="Arial"/>
          <w:kern w:val="0"/>
          <w:lang w:val="en-US" w:eastAsia="es-ES"/>
        </w:rPr>
        <w:t>Boreland F, Lesjak M, Lyle D. (2009). Evaluation of home lead remediation in an Australian mining community. Science of Total Enviroment. 408: 202-208.</w:t>
      </w:r>
    </w:p>
    <w:p w:rsidR="001D3C29" w:rsidRPr="001D3C29" w:rsidRDefault="001D3C29" w:rsidP="001D3C29">
      <w:pPr>
        <w:widowControl/>
        <w:numPr>
          <w:ilvl w:val="0"/>
          <w:numId w:val="43"/>
        </w:numPr>
        <w:suppressAutoHyphens w:val="0"/>
        <w:spacing w:before="240"/>
        <w:ind w:left="284" w:hanging="284"/>
        <w:jc w:val="both"/>
        <w:rPr>
          <w:rFonts w:ascii="Arial" w:eastAsia="Times New Roman" w:hAnsi="Arial" w:cs="Arial"/>
          <w:kern w:val="0"/>
          <w:lang w:val="en-US" w:eastAsia="es-ES"/>
        </w:rPr>
      </w:pPr>
      <w:r w:rsidRPr="001D3C29">
        <w:rPr>
          <w:rFonts w:ascii="Arial" w:eastAsia="Times New Roman" w:hAnsi="Arial" w:cs="Arial"/>
          <w:kern w:val="0"/>
          <w:lang w:val="en-US" w:eastAsia="es-ES"/>
        </w:rPr>
        <w:t>Boreland F., Lyle D. (2008). Screening children for elevated blood lead- Learnings from the literatura. Science of the Total Environment. 390: 13-22.</w:t>
      </w:r>
    </w:p>
    <w:p w:rsidR="001D3C29" w:rsidRPr="001D3C29" w:rsidRDefault="001D3C29" w:rsidP="001D3C29">
      <w:pPr>
        <w:widowControl/>
        <w:numPr>
          <w:ilvl w:val="0"/>
          <w:numId w:val="43"/>
        </w:numPr>
        <w:suppressAutoHyphens w:val="0"/>
        <w:spacing w:before="240"/>
        <w:ind w:left="284" w:hanging="284"/>
        <w:jc w:val="both"/>
        <w:rPr>
          <w:rFonts w:ascii="Arial" w:eastAsia="Times New Roman" w:hAnsi="Arial" w:cs="Arial"/>
          <w:kern w:val="0"/>
          <w:lang w:val="en-US" w:eastAsia="es-ES"/>
        </w:rPr>
      </w:pPr>
      <w:r w:rsidRPr="001D3C29">
        <w:rPr>
          <w:rFonts w:ascii="Arial" w:eastAsia="Times New Roman" w:hAnsi="Arial" w:cs="Arial"/>
          <w:kern w:val="0"/>
          <w:lang w:val="en-US" w:eastAsia="es-ES"/>
        </w:rPr>
        <w:t>Bradberry, S. and Vale, A. 2007.Lead. Medicine. 35:12</w:t>
      </w:r>
    </w:p>
    <w:p w:rsidR="001D3C29" w:rsidRPr="001D3C29" w:rsidRDefault="001D3C29" w:rsidP="001D3C29">
      <w:pPr>
        <w:widowControl/>
        <w:numPr>
          <w:ilvl w:val="0"/>
          <w:numId w:val="43"/>
        </w:numPr>
        <w:suppressAutoHyphens w:val="0"/>
        <w:spacing w:before="240"/>
        <w:ind w:left="284" w:hanging="284"/>
        <w:jc w:val="both"/>
        <w:rPr>
          <w:rFonts w:ascii="Arial" w:eastAsia="Times New Roman" w:hAnsi="Arial" w:cs="Arial"/>
          <w:kern w:val="0"/>
          <w:lang w:val="en-US" w:eastAsia="es-ES"/>
        </w:rPr>
      </w:pPr>
      <w:r w:rsidRPr="001D3C29">
        <w:rPr>
          <w:rFonts w:ascii="Arial" w:eastAsia="Times New Roman" w:hAnsi="Arial" w:cs="Arial"/>
          <w:kern w:val="0"/>
          <w:lang w:val="en-US" w:eastAsia="es-ES"/>
        </w:rPr>
        <w:lastRenderedPageBreak/>
        <w:t>Bruening, K., Kemp, F.W., Simone, N., Holding, Y., Louria, D.B., Bogden, J.D. 1999. Dietary calcium intakes of urban children at risk of lead poisoning. Environ Health Perspect. 107(6):431-5.</w:t>
      </w:r>
    </w:p>
    <w:p w:rsidR="001D3C29" w:rsidRPr="001D3C29" w:rsidRDefault="001D3C29" w:rsidP="001D3C29">
      <w:pPr>
        <w:widowControl/>
        <w:numPr>
          <w:ilvl w:val="0"/>
          <w:numId w:val="43"/>
        </w:numPr>
        <w:suppressAutoHyphens w:val="0"/>
        <w:spacing w:before="240"/>
        <w:ind w:left="284" w:hanging="284"/>
        <w:jc w:val="both"/>
        <w:rPr>
          <w:rFonts w:ascii="Arial" w:eastAsia="Times New Roman" w:hAnsi="Arial" w:cs="Arial"/>
          <w:kern w:val="0"/>
          <w:lang w:val="en-US" w:eastAsia="es-ES"/>
        </w:rPr>
      </w:pPr>
      <w:r w:rsidRPr="001D3C29">
        <w:rPr>
          <w:rFonts w:ascii="Arial" w:eastAsia="Times New Roman" w:hAnsi="Arial" w:cs="Arial"/>
          <w:kern w:val="0"/>
          <w:lang w:val="es-ES" w:eastAsia="es-ES"/>
        </w:rPr>
        <w:t>García, L. 2003. Teoría del Desarrollo Sostenible y Legislación Ambiental Colombiana, Una Reflexión, Cultural. Revista de Derecho, Universidad del Norte, 20: 198.215.</w:t>
      </w:r>
    </w:p>
    <w:p w:rsidR="001D3C29" w:rsidRPr="001D3C29" w:rsidRDefault="001D3C29" w:rsidP="001D3C29">
      <w:pPr>
        <w:widowControl/>
        <w:numPr>
          <w:ilvl w:val="0"/>
          <w:numId w:val="43"/>
        </w:numPr>
        <w:suppressAutoHyphens w:val="0"/>
        <w:spacing w:before="240"/>
        <w:ind w:left="284" w:hanging="284"/>
        <w:jc w:val="both"/>
        <w:rPr>
          <w:rFonts w:ascii="Arial" w:eastAsia="Times New Roman" w:hAnsi="Arial" w:cs="Arial"/>
          <w:kern w:val="0"/>
          <w:lang w:val="en-US" w:eastAsia="es-ES"/>
        </w:rPr>
      </w:pPr>
      <w:r w:rsidRPr="001D3C29">
        <w:rPr>
          <w:rFonts w:ascii="Arial" w:eastAsia="Times New Roman" w:hAnsi="Arial" w:cs="Arial"/>
          <w:kern w:val="0"/>
          <w:lang w:val="es-CO" w:eastAsia="es-ES"/>
        </w:rPr>
        <w:t xml:space="preserve">Garza, A., Vega, R., Soto, E. 2006. </w:t>
      </w:r>
      <w:r w:rsidRPr="001D3C29">
        <w:rPr>
          <w:rFonts w:ascii="Arial" w:eastAsia="Times New Roman" w:hAnsi="Arial" w:cs="Arial"/>
          <w:kern w:val="0"/>
          <w:lang w:val="en-US" w:eastAsia="es-ES"/>
        </w:rPr>
        <w:t>Cellular mechanisms of lead neurotoxicity. Med SciMonit. 12:57-65.</w:t>
      </w:r>
    </w:p>
    <w:p w:rsidR="001D3C29" w:rsidRPr="001D3C29" w:rsidRDefault="001D3C29" w:rsidP="001D3C29">
      <w:pPr>
        <w:widowControl/>
        <w:numPr>
          <w:ilvl w:val="0"/>
          <w:numId w:val="43"/>
        </w:numPr>
        <w:suppressAutoHyphens w:val="0"/>
        <w:spacing w:before="240"/>
        <w:ind w:left="284" w:hanging="284"/>
        <w:jc w:val="both"/>
        <w:rPr>
          <w:rFonts w:ascii="Arial" w:eastAsia="Times New Roman" w:hAnsi="Arial" w:cs="Arial"/>
          <w:kern w:val="0"/>
          <w:lang w:val="en-US" w:eastAsia="es-ES"/>
        </w:rPr>
      </w:pPr>
      <w:r w:rsidRPr="001D3C29">
        <w:rPr>
          <w:rFonts w:ascii="Arial" w:eastAsia="Times New Roman" w:hAnsi="Arial" w:cs="Arial"/>
          <w:kern w:val="0"/>
          <w:lang w:val="en-US" w:eastAsia="es-ES"/>
        </w:rPr>
        <w:t xml:space="preserve">Godwin, H. (2001). The biological chemistry of lead. Current Opinio in Chemical Biology 5: 223-227. </w:t>
      </w:r>
    </w:p>
    <w:p w:rsidR="001D3C29" w:rsidRPr="001D3C29" w:rsidRDefault="001D3C29" w:rsidP="001D3C29">
      <w:pPr>
        <w:widowControl/>
        <w:numPr>
          <w:ilvl w:val="0"/>
          <w:numId w:val="43"/>
        </w:numPr>
        <w:suppressAutoHyphens w:val="0"/>
        <w:spacing w:before="240"/>
        <w:ind w:left="284" w:hanging="284"/>
        <w:jc w:val="both"/>
        <w:rPr>
          <w:rFonts w:ascii="Arial" w:eastAsia="Times New Roman" w:hAnsi="Arial" w:cs="Arial"/>
          <w:kern w:val="0"/>
          <w:lang w:val="en-US" w:eastAsia="es-ES"/>
        </w:rPr>
      </w:pPr>
      <w:r w:rsidRPr="001D3C29">
        <w:rPr>
          <w:rFonts w:ascii="Arial" w:eastAsia="Times New Roman" w:hAnsi="Arial" w:cs="Arial"/>
          <w:kern w:val="0"/>
          <w:lang w:val="en-US" w:eastAsia="es-ES"/>
        </w:rPr>
        <w:t>Graeme, K.A., Pollack, C.V Jr. 1998. Heavy metal toxicity, part II: lead and metal fume fever. J Emerg Med. 16 (2):171-7.</w:t>
      </w:r>
    </w:p>
    <w:p w:rsidR="001D3C29" w:rsidRPr="001D3C29" w:rsidRDefault="001D3C29" w:rsidP="001D3C29">
      <w:pPr>
        <w:widowControl/>
        <w:numPr>
          <w:ilvl w:val="0"/>
          <w:numId w:val="43"/>
        </w:numPr>
        <w:suppressAutoHyphens w:val="0"/>
        <w:spacing w:before="240"/>
        <w:ind w:left="284" w:hanging="284"/>
        <w:jc w:val="both"/>
        <w:rPr>
          <w:rFonts w:ascii="Arial" w:eastAsia="Times New Roman" w:hAnsi="Arial" w:cs="Arial"/>
          <w:kern w:val="0"/>
          <w:lang w:val="en-US" w:eastAsia="es-ES"/>
        </w:rPr>
      </w:pPr>
      <w:r w:rsidRPr="001D3C29">
        <w:rPr>
          <w:rFonts w:ascii="Arial" w:eastAsia="Times New Roman" w:hAnsi="Arial" w:cs="Arial"/>
          <w:kern w:val="0"/>
          <w:lang w:val="en-US" w:eastAsia="es-ES"/>
        </w:rPr>
        <w:t>Holz, J.D., Sheu, T.J., Drissi, H., Matsuzawa, M., Zuscik, M.J., Puzas, J.E. 2007. Environmental agents affect skeletal growth and development. Birth Defects Res. C. Embryo Today. 81(1):41-50.</w:t>
      </w:r>
    </w:p>
    <w:p w:rsidR="001D3C29" w:rsidRPr="001D3C29" w:rsidRDefault="001D3C29" w:rsidP="001D3C29">
      <w:pPr>
        <w:widowControl/>
        <w:numPr>
          <w:ilvl w:val="0"/>
          <w:numId w:val="43"/>
        </w:numPr>
        <w:suppressAutoHyphens w:val="0"/>
        <w:spacing w:before="240"/>
        <w:ind w:left="284" w:hanging="284"/>
        <w:jc w:val="both"/>
        <w:rPr>
          <w:rFonts w:ascii="Arial" w:eastAsia="Times New Roman" w:hAnsi="Arial" w:cs="Arial"/>
          <w:kern w:val="0"/>
          <w:lang w:val="en-US" w:eastAsia="es-ES"/>
        </w:rPr>
      </w:pPr>
      <w:r w:rsidRPr="001D3C29">
        <w:rPr>
          <w:rFonts w:ascii="Arial" w:eastAsia="Times New Roman" w:hAnsi="Arial" w:cs="Arial"/>
          <w:kern w:val="0"/>
          <w:lang w:val="en-US" w:eastAsia="es-ES"/>
        </w:rPr>
        <w:t>IPCS. Environmental Health Criteria 165 inorganic lead. Geneva: WHO; 1995.</w:t>
      </w:r>
    </w:p>
    <w:p w:rsidR="001D3C29" w:rsidRPr="001D3C29" w:rsidRDefault="001D3C29" w:rsidP="001D3C29">
      <w:pPr>
        <w:widowControl/>
        <w:numPr>
          <w:ilvl w:val="0"/>
          <w:numId w:val="43"/>
        </w:numPr>
        <w:suppressAutoHyphens w:val="0"/>
        <w:spacing w:before="240"/>
        <w:ind w:left="284" w:hanging="284"/>
        <w:jc w:val="both"/>
        <w:rPr>
          <w:rFonts w:ascii="Arial" w:eastAsia="Times New Roman" w:hAnsi="Arial" w:cs="Arial"/>
          <w:kern w:val="0"/>
          <w:lang w:val="en-US" w:eastAsia="es-ES"/>
        </w:rPr>
      </w:pPr>
      <w:r w:rsidRPr="001D3C29">
        <w:rPr>
          <w:rFonts w:ascii="Arial" w:eastAsia="Times New Roman" w:hAnsi="Arial" w:cs="Arial"/>
          <w:kern w:val="0"/>
          <w:lang w:val="en-US" w:eastAsia="es-ES"/>
        </w:rPr>
        <w:t>Klaassen, C.D. Liu J. Choudhuri, S. 1999. Metallothionein: an intracellular protein to protect against cadmium toxicity. Annu. Rev. Pharmacol. Toxicol. 39: 267-294.</w:t>
      </w:r>
    </w:p>
    <w:p w:rsidR="001D3C29" w:rsidRPr="001D3C29" w:rsidRDefault="001D3C29" w:rsidP="001D3C29">
      <w:pPr>
        <w:widowControl/>
        <w:numPr>
          <w:ilvl w:val="0"/>
          <w:numId w:val="43"/>
        </w:numPr>
        <w:suppressAutoHyphens w:val="0"/>
        <w:spacing w:before="240"/>
        <w:ind w:left="284" w:hanging="284"/>
        <w:jc w:val="both"/>
        <w:rPr>
          <w:rFonts w:ascii="Arial" w:eastAsia="Times New Roman" w:hAnsi="Arial" w:cs="Arial"/>
          <w:kern w:val="0"/>
          <w:lang w:val="en-US" w:eastAsia="es-ES"/>
        </w:rPr>
      </w:pPr>
      <w:r w:rsidRPr="001D3C29">
        <w:rPr>
          <w:rFonts w:ascii="Arial" w:eastAsia="Times New Roman" w:hAnsi="Arial" w:cs="Arial"/>
          <w:kern w:val="0"/>
          <w:lang w:val="en-US" w:eastAsia="es-ES"/>
        </w:rPr>
        <w:t>Lanphear B, Dietrich K, Berger O. (2003). Prevention of lead toxicity in US children. Ambulatory Pediatrics. 3: 27-36.</w:t>
      </w:r>
    </w:p>
    <w:p w:rsidR="001D3C29" w:rsidRPr="001D3C29" w:rsidRDefault="001D3C29" w:rsidP="001D3C29">
      <w:pPr>
        <w:widowControl/>
        <w:numPr>
          <w:ilvl w:val="0"/>
          <w:numId w:val="43"/>
        </w:numPr>
        <w:suppressAutoHyphens w:val="0"/>
        <w:spacing w:before="240"/>
        <w:ind w:left="284" w:hanging="284"/>
        <w:jc w:val="both"/>
        <w:rPr>
          <w:rFonts w:ascii="Arial" w:eastAsia="Times New Roman" w:hAnsi="Arial" w:cs="Arial"/>
          <w:kern w:val="0"/>
          <w:lang w:val="en-US" w:eastAsia="es-ES"/>
        </w:rPr>
      </w:pPr>
      <w:r w:rsidRPr="00681E82">
        <w:rPr>
          <w:rFonts w:ascii="Arial" w:eastAsia="Times New Roman" w:hAnsi="Arial" w:cs="Arial"/>
          <w:kern w:val="0"/>
          <w:lang w:val="fr-FR" w:eastAsia="es-ES"/>
        </w:rPr>
        <w:t xml:space="preserve">Meneses, F., Richardson, V., Monserrat, L. 2003. </w:t>
      </w:r>
      <w:r w:rsidRPr="001D3C29">
        <w:rPr>
          <w:rFonts w:ascii="Arial" w:eastAsia="Times New Roman" w:hAnsi="Arial" w:cs="Arial"/>
          <w:kern w:val="0"/>
          <w:lang w:val="es-CO" w:eastAsia="es-ES"/>
        </w:rPr>
        <w:t xml:space="preserve">Niveles de plomo en sangre y factores de exposición en niños del estado de Morelos. </w:t>
      </w:r>
      <w:r w:rsidRPr="001D3C29">
        <w:rPr>
          <w:rFonts w:ascii="Arial" w:eastAsia="Times New Roman" w:hAnsi="Arial" w:cs="Arial"/>
          <w:kern w:val="0"/>
          <w:lang w:val="en-US" w:eastAsia="es-ES"/>
        </w:rPr>
        <w:t>Lic mat .SaludPública de México. 45:50-58.</w:t>
      </w:r>
    </w:p>
    <w:p w:rsidR="001D3C29" w:rsidRPr="001D3C29" w:rsidRDefault="001D3C29" w:rsidP="001D3C29">
      <w:pPr>
        <w:widowControl/>
        <w:numPr>
          <w:ilvl w:val="0"/>
          <w:numId w:val="43"/>
        </w:numPr>
        <w:suppressAutoHyphens w:val="0"/>
        <w:spacing w:before="240"/>
        <w:ind w:left="284" w:hanging="284"/>
        <w:jc w:val="both"/>
        <w:rPr>
          <w:rFonts w:ascii="Arial" w:eastAsia="Times New Roman" w:hAnsi="Arial" w:cs="Arial"/>
          <w:kern w:val="0"/>
          <w:lang w:val="es-ES" w:eastAsia="es-ES"/>
        </w:rPr>
      </w:pPr>
      <w:r w:rsidRPr="001D3C29">
        <w:rPr>
          <w:rFonts w:ascii="Arial" w:eastAsia="Times New Roman" w:hAnsi="Arial" w:cs="Arial"/>
          <w:kern w:val="0"/>
          <w:lang w:val="es-ES" w:eastAsia="es-ES"/>
        </w:rPr>
        <w:t>Ministerio de Ambiente, Vivienda y Desarrollo Territorial (2011). Misión y Marco Institucional. Consultada el 15 de Junio de 2011.</w:t>
      </w:r>
    </w:p>
    <w:p w:rsidR="001D3C29" w:rsidRPr="001D3C29" w:rsidRDefault="001D3C29" w:rsidP="001D3C29">
      <w:pPr>
        <w:widowControl/>
        <w:numPr>
          <w:ilvl w:val="0"/>
          <w:numId w:val="43"/>
        </w:numPr>
        <w:suppressAutoHyphens w:val="0"/>
        <w:spacing w:before="240"/>
        <w:ind w:left="284" w:hanging="284"/>
        <w:jc w:val="both"/>
        <w:rPr>
          <w:rFonts w:ascii="Arial" w:eastAsia="Times New Roman" w:hAnsi="Arial" w:cs="Arial"/>
          <w:kern w:val="0"/>
          <w:lang w:val="en-US" w:eastAsia="es-ES"/>
        </w:rPr>
      </w:pPr>
      <w:r w:rsidRPr="001D3C29">
        <w:rPr>
          <w:rFonts w:ascii="Arial" w:eastAsia="Times New Roman" w:hAnsi="Arial" w:cs="Arial"/>
          <w:kern w:val="0"/>
          <w:lang w:val="es-ES" w:eastAsia="es-ES"/>
        </w:rPr>
        <w:t xml:space="preserve">Miranda, M.L., Kim, D., Galeano, M.A.O., Paul, C.J., Hull, A.P., Morgan, S.P. (2007). </w:t>
      </w:r>
      <w:r w:rsidRPr="001D3C29">
        <w:rPr>
          <w:rFonts w:ascii="Arial" w:eastAsia="Times New Roman" w:hAnsi="Arial" w:cs="Arial"/>
          <w:kern w:val="0"/>
          <w:lang w:val="en-US" w:eastAsia="es-ES"/>
        </w:rPr>
        <w:t>The relationship between early childhood blood lead levels and performance on end-of-grade tests. Environ Health Perspect. 115:1242–1247.</w:t>
      </w:r>
    </w:p>
    <w:p w:rsidR="001D3C29" w:rsidRPr="001D3C29" w:rsidRDefault="001D3C29" w:rsidP="001D3C29">
      <w:pPr>
        <w:widowControl/>
        <w:numPr>
          <w:ilvl w:val="0"/>
          <w:numId w:val="43"/>
        </w:numPr>
        <w:suppressAutoHyphens w:val="0"/>
        <w:spacing w:before="240"/>
        <w:ind w:left="284" w:hanging="284"/>
        <w:jc w:val="both"/>
        <w:rPr>
          <w:rFonts w:ascii="Arial" w:eastAsia="Times New Roman" w:hAnsi="Arial" w:cs="Arial"/>
          <w:kern w:val="0"/>
          <w:lang w:val="en-US" w:eastAsia="es-ES"/>
        </w:rPr>
      </w:pPr>
      <w:r w:rsidRPr="001D3C29">
        <w:rPr>
          <w:rFonts w:ascii="Arial" w:eastAsia="Times New Roman" w:hAnsi="Arial" w:cs="Arial"/>
          <w:kern w:val="0"/>
          <w:lang w:val="en-US" w:eastAsia="es-ES"/>
        </w:rPr>
        <w:t>Needleman, H.L., Riess, J.A., Tobin, M.J., Biesecker, G.E., Greenhouse, J.B. (1996). Bone lead levels and delinquent behavior. JAMA. 275:363-369.</w:t>
      </w:r>
    </w:p>
    <w:p w:rsidR="001D3C29" w:rsidRPr="001D3C29" w:rsidRDefault="001D3C29" w:rsidP="001D3C29">
      <w:pPr>
        <w:widowControl/>
        <w:numPr>
          <w:ilvl w:val="0"/>
          <w:numId w:val="43"/>
        </w:numPr>
        <w:suppressAutoHyphens w:val="0"/>
        <w:spacing w:before="240"/>
        <w:ind w:left="284" w:hanging="284"/>
        <w:jc w:val="both"/>
        <w:rPr>
          <w:rFonts w:ascii="Arial" w:eastAsia="Times New Roman" w:hAnsi="Arial" w:cs="Arial"/>
          <w:kern w:val="0"/>
          <w:lang w:val="es-ES" w:eastAsia="es-ES"/>
        </w:rPr>
      </w:pPr>
      <w:r w:rsidRPr="001D3C29">
        <w:rPr>
          <w:rFonts w:ascii="Arial" w:eastAsia="Times New Roman" w:hAnsi="Arial" w:cs="Arial"/>
          <w:kern w:val="0"/>
          <w:lang w:val="es-ES" w:eastAsia="es-ES"/>
        </w:rPr>
        <w:t xml:space="preserve">Norma Oficial Mexicana. 2002. NOM-199-SsA1-2000, Salud Ambiental. Niveles de plomo en sangre y acciones como criterios para proteger la salud de la población expuesta no ocupacionalmente. Consultada el 13 de Junio de 2011. </w:t>
      </w:r>
    </w:p>
    <w:p w:rsidR="001D3C29" w:rsidRPr="001D3C29" w:rsidRDefault="001D3C29" w:rsidP="001D3C29">
      <w:pPr>
        <w:widowControl/>
        <w:numPr>
          <w:ilvl w:val="0"/>
          <w:numId w:val="43"/>
        </w:numPr>
        <w:suppressAutoHyphens w:val="0"/>
        <w:spacing w:before="240"/>
        <w:ind w:left="284" w:hanging="284"/>
        <w:jc w:val="both"/>
        <w:rPr>
          <w:rFonts w:ascii="Arial" w:eastAsia="Times New Roman" w:hAnsi="Arial" w:cs="Arial"/>
          <w:kern w:val="0"/>
          <w:lang w:val="en-US" w:eastAsia="es-ES"/>
        </w:rPr>
      </w:pPr>
      <w:r w:rsidRPr="001D3C29">
        <w:rPr>
          <w:rFonts w:ascii="Arial" w:eastAsia="Times New Roman" w:hAnsi="Arial" w:cs="Arial"/>
          <w:kern w:val="0"/>
          <w:lang w:val="es-CO" w:eastAsia="es-ES"/>
        </w:rPr>
        <w:lastRenderedPageBreak/>
        <w:t xml:space="preserve">Padilla, F., Fernandéz, N., Ramirez, S. 2000. Exposición urbana no ocupacional al plomo y niveles sanguíneos en mujeres embarazadas y en recién nacidos. </w:t>
      </w:r>
      <w:r w:rsidRPr="001D3C29">
        <w:rPr>
          <w:rFonts w:ascii="Arial" w:eastAsia="Times New Roman" w:hAnsi="Arial" w:cs="Arial"/>
          <w:kern w:val="0"/>
          <w:lang w:val="en-US" w:eastAsia="es-ES"/>
        </w:rPr>
        <w:t>Rev. Fac. Nac. SaludPública. 18: 73-81.</w:t>
      </w:r>
    </w:p>
    <w:p w:rsidR="001D3C29" w:rsidRPr="001D3C29" w:rsidRDefault="001D3C29" w:rsidP="001D3C29">
      <w:pPr>
        <w:widowControl/>
        <w:numPr>
          <w:ilvl w:val="0"/>
          <w:numId w:val="43"/>
        </w:numPr>
        <w:suppressAutoHyphens w:val="0"/>
        <w:spacing w:before="240"/>
        <w:ind w:left="284" w:hanging="284"/>
        <w:jc w:val="both"/>
        <w:rPr>
          <w:rFonts w:ascii="Arial" w:eastAsia="Times New Roman" w:hAnsi="Arial" w:cs="Arial"/>
          <w:kern w:val="0"/>
          <w:lang w:val="en-US" w:eastAsia="es-ES"/>
        </w:rPr>
      </w:pPr>
      <w:r w:rsidRPr="001D3C29">
        <w:rPr>
          <w:rFonts w:ascii="Arial" w:eastAsia="Times New Roman" w:hAnsi="Arial" w:cs="Arial"/>
          <w:kern w:val="0"/>
          <w:lang w:val="en-US" w:eastAsia="es-ES"/>
        </w:rPr>
        <w:t>Pocock, S.J., Smith, M., Baghurst, P. (1994). Environmental lead and children’s intelligence: a systematic review of the epidemiological evidence. BMJ. 309:1189-1197.</w:t>
      </w:r>
    </w:p>
    <w:p w:rsidR="001D3C29" w:rsidRPr="001D3C29" w:rsidRDefault="001D3C29" w:rsidP="001D3C29">
      <w:pPr>
        <w:widowControl/>
        <w:numPr>
          <w:ilvl w:val="0"/>
          <w:numId w:val="43"/>
        </w:numPr>
        <w:suppressAutoHyphens w:val="0"/>
        <w:spacing w:before="240"/>
        <w:ind w:left="284" w:hanging="284"/>
        <w:jc w:val="both"/>
        <w:rPr>
          <w:rFonts w:ascii="Arial" w:eastAsia="Times New Roman" w:hAnsi="Arial" w:cs="Arial"/>
          <w:kern w:val="0"/>
          <w:lang w:val="es-CO" w:eastAsia="es-ES"/>
        </w:rPr>
      </w:pPr>
      <w:r w:rsidRPr="001D3C29">
        <w:rPr>
          <w:rFonts w:ascii="Arial" w:eastAsia="Times New Roman" w:hAnsi="Arial" w:cs="Arial"/>
          <w:kern w:val="0"/>
          <w:lang w:val="es-ES" w:eastAsia="es-ES"/>
        </w:rPr>
        <w:t>Ponce, E., 1997. Evolución y Perspectivas de la Legislación Ambiental en Colombia, en seminario internacional “Desarrollo Sostenible”, diario El Espectador, CEI, PNUD, Ministerio del Medio Ambiente, 1997.</w:t>
      </w:r>
    </w:p>
    <w:p w:rsidR="001D3C29" w:rsidRPr="001D3C29" w:rsidRDefault="001D3C29" w:rsidP="001D3C29">
      <w:pPr>
        <w:widowControl/>
        <w:numPr>
          <w:ilvl w:val="0"/>
          <w:numId w:val="43"/>
        </w:numPr>
        <w:suppressAutoHyphens w:val="0"/>
        <w:spacing w:before="240"/>
        <w:ind w:left="284" w:hanging="284"/>
        <w:jc w:val="both"/>
        <w:rPr>
          <w:rFonts w:ascii="Arial" w:eastAsia="Times New Roman" w:hAnsi="Arial" w:cs="Arial"/>
          <w:kern w:val="0"/>
          <w:lang w:val="en-US" w:eastAsia="es-ES"/>
        </w:rPr>
      </w:pPr>
      <w:r w:rsidRPr="001D3C29">
        <w:rPr>
          <w:rFonts w:ascii="Arial" w:eastAsia="Times New Roman" w:hAnsi="Arial" w:cs="Arial"/>
          <w:kern w:val="0"/>
          <w:lang w:val="es-ES" w:eastAsia="es-ES"/>
        </w:rPr>
        <w:t>Sánchez, G., 2002. Desarrollo y Medio Ambiente: Una Mirada a Colombia. Economía y Desarrollo - marzo 2002, vol. 1, n° 1.</w:t>
      </w:r>
    </w:p>
    <w:p w:rsidR="001D3C29" w:rsidRPr="001D3C29" w:rsidRDefault="001D3C29" w:rsidP="001D3C29">
      <w:pPr>
        <w:widowControl/>
        <w:numPr>
          <w:ilvl w:val="0"/>
          <w:numId w:val="43"/>
        </w:numPr>
        <w:suppressAutoHyphens w:val="0"/>
        <w:spacing w:before="240"/>
        <w:ind w:left="284" w:hanging="284"/>
        <w:jc w:val="both"/>
        <w:rPr>
          <w:rFonts w:ascii="Arial" w:eastAsia="Times New Roman" w:hAnsi="Arial" w:cs="Arial"/>
          <w:kern w:val="0"/>
          <w:lang w:val="en-US" w:eastAsia="es-ES"/>
        </w:rPr>
      </w:pPr>
      <w:r w:rsidRPr="001D3C29">
        <w:rPr>
          <w:rFonts w:ascii="Arial" w:eastAsia="Times New Roman" w:hAnsi="Arial" w:cs="Arial"/>
          <w:kern w:val="0"/>
          <w:lang w:val="es-CO" w:eastAsia="es-ES"/>
        </w:rPr>
        <w:t xml:space="preserve">Sepúlveda-Arcuch V. 2000. Exposición a plomo ambiental en población infantil de la ciudad de Antofagasta a acopios concentrados de este mineral. Tesis de postgrado en salud Pública. Coordinación de investigaciones. División de Salud y Desarrollo Humano. </w:t>
      </w:r>
      <w:r w:rsidRPr="001D3C29">
        <w:rPr>
          <w:rFonts w:ascii="Arial" w:eastAsia="Times New Roman" w:hAnsi="Arial" w:cs="Arial"/>
          <w:kern w:val="0"/>
          <w:lang w:val="en-US" w:eastAsia="es-ES"/>
        </w:rPr>
        <w:t>OrganizaciónPanamericana de la Salud.1-74.</w:t>
      </w:r>
    </w:p>
    <w:p w:rsidR="001D3C29" w:rsidRPr="001D3C29" w:rsidRDefault="001D3C29" w:rsidP="001D3C29">
      <w:pPr>
        <w:widowControl/>
        <w:numPr>
          <w:ilvl w:val="0"/>
          <w:numId w:val="43"/>
        </w:numPr>
        <w:suppressAutoHyphens w:val="0"/>
        <w:spacing w:before="240"/>
        <w:ind w:left="284" w:hanging="284"/>
        <w:jc w:val="both"/>
        <w:rPr>
          <w:rFonts w:ascii="Arial" w:eastAsia="Times New Roman" w:hAnsi="Arial" w:cs="Arial"/>
          <w:kern w:val="0"/>
          <w:lang w:val="en-US" w:eastAsia="es-ES"/>
        </w:rPr>
      </w:pPr>
      <w:r w:rsidRPr="001D3C29">
        <w:rPr>
          <w:rFonts w:ascii="Arial" w:eastAsia="Times New Roman" w:hAnsi="Arial" w:cs="Arial"/>
          <w:kern w:val="0"/>
          <w:lang w:val="es-ES" w:eastAsia="es-ES"/>
        </w:rPr>
        <w:t xml:space="preserve">SIAME. (2011). Sistema de Información Ambiental Minero Energético. Guías para </w:t>
      </w:r>
      <w:r w:rsidRPr="001D3C29">
        <w:rPr>
          <w:rFonts w:ascii="Arial" w:eastAsia="Times New Roman" w:hAnsi="Arial" w:cs="Arial"/>
          <w:kern w:val="0"/>
          <w:lang w:val="es-CO" w:eastAsia="es-ES"/>
        </w:rPr>
        <w:t xml:space="preserve">manejo Seguro y Gestión Ambiental de 25 Sustancias Químicas. 4.20. Monòxido de Plomo. </w:t>
      </w:r>
      <w:proofErr w:type="spellStart"/>
      <w:r w:rsidRPr="001D3C29">
        <w:rPr>
          <w:rFonts w:ascii="Arial" w:eastAsia="Times New Roman" w:hAnsi="Arial" w:cs="Arial"/>
          <w:kern w:val="0"/>
          <w:lang w:val="es-CO" w:eastAsia="es-ES"/>
        </w:rPr>
        <w:t>Pàg</w:t>
      </w:r>
      <w:proofErr w:type="spellEnd"/>
      <w:r w:rsidRPr="001D3C29">
        <w:rPr>
          <w:rFonts w:ascii="Arial" w:eastAsia="Times New Roman" w:hAnsi="Arial" w:cs="Arial"/>
          <w:kern w:val="0"/>
          <w:lang w:val="es-CO" w:eastAsia="es-ES"/>
        </w:rPr>
        <w:t>. 309-</w:t>
      </w:r>
      <w:r w:rsidRPr="001D3C29">
        <w:rPr>
          <w:rFonts w:ascii="Arial" w:eastAsia="Times New Roman" w:hAnsi="Arial" w:cs="Arial"/>
          <w:kern w:val="0"/>
          <w:lang w:val="en-US" w:eastAsia="es-ES"/>
        </w:rPr>
        <w:t xml:space="preserve">318. Consultada el 15 de </w:t>
      </w:r>
      <w:r w:rsidRPr="001D3C29">
        <w:rPr>
          <w:rFonts w:ascii="Arial" w:eastAsia="Times New Roman" w:hAnsi="Arial" w:cs="Arial"/>
          <w:kern w:val="0"/>
          <w:lang w:val="es-CO" w:eastAsia="es-ES"/>
        </w:rPr>
        <w:t>junio</w:t>
      </w:r>
      <w:r w:rsidRPr="001D3C29">
        <w:rPr>
          <w:rFonts w:ascii="Arial" w:eastAsia="Times New Roman" w:hAnsi="Arial" w:cs="Arial"/>
          <w:kern w:val="0"/>
          <w:lang w:val="en-US" w:eastAsia="es-ES"/>
        </w:rPr>
        <w:t xml:space="preserve"> de 2011.</w:t>
      </w:r>
    </w:p>
    <w:p w:rsidR="001D3C29" w:rsidRPr="001D3C29" w:rsidRDefault="001D3C29" w:rsidP="001D3C29">
      <w:pPr>
        <w:widowControl/>
        <w:numPr>
          <w:ilvl w:val="0"/>
          <w:numId w:val="43"/>
        </w:numPr>
        <w:suppressAutoHyphens w:val="0"/>
        <w:spacing w:before="240"/>
        <w:ind w:left="284" w:hanging="284"/>
        <w:jc w:val="both"/>
        <w:rPr>
          <w:rFonts w:ascii="Arial" w:eastAsia="Times New Roman" w:hAnsi="Arial" w:cs="Arial"/>
          <w:kern w:val="0"/>
          <w:lang w:val="en-US" w:eastAsia="es-ES"/>
        </w:rPr>
      </w:pPr>
      <w:r w:rsidRPr="001D3C29">
        <w:rPr>
          <w:rFonts w:ascii="Arial" w:eastAsia="Times New Roman" w:hAnsi="Arial" w:cs="Arial"/>
          <w:kern w:val="0"/>
          <w:lang w:val="en-US" w:eastAsia="es-ES"/>
        </w:rPr>
        <w:t xml:space="preserve">UNEP, _. GEO-3: Global Environment Outlook. </w:t>
      </w:r>
      <w:r w:rsidRPr="001D3C29">
        <w:rPr>
          <w:rFonts w:ascii="Arial" w:eastAsia="Times New Roman" w:hAnsi="Arial" w:cs="Arial"/>
          <w:kern w:val="0"/>
          <w:lang w:val="es-CO" w:eastAsia="es-ES"/>
        </w:rPr>
        <w:t>La Conferencia de las Naciones Unidas sobre el Medio Humano. Consultado: http://www.unep.org/geo/GEO3/spanish/040.htm</w:t>
      </w:r>
    </w:p>
    <w:p w:rsidR="001D3C29" w:rsidRPr="001D3C29" w:rsidRDefault="001D3C29" w:rsidP="001D3C29">
      <w:pPr>
        <w:widowControl/>
        <w:numPr>
          <w:ilvl w:val="0"/>
          <w:numId w:val="43"/>
        </w:numPr>
        <w:suppressAutoHyphens w:val="0"/>
        <w:spacing w:before="240"/>
        <w:ind w:left="284" w:hanging="284"/>
        <w:jc w:val="both"/>
        <w:rPr>
          <w:rFonts w:ascii="Arial" w:eastAsia="Times New Roman" w:hAnsi="Arial" w:cs="Arial"/>
          <w:kern w:val="0"/>
          <w:lang w:val="en-US" w:eastAsia="es-ES"/>
        </w:rPr>
      </w:pPr>
      <w:r w:rsidRPr="001D3C29">
        <w:rPr>
          <w:rFonts w:ascii="Arial" w:eastAsia="Times New Roman" w:hAnsi="Arial" w:cs="Arial"/>
          <w:kern w:val="0"/>
          <w:lang w:val="en-US" w:eastAsia="es-ES"/>
        </w:rPr>
        <w:t>Vaziri ND (2008) Mechanisms of lead-induced hypertension and cardiovascular disease. Am J Physiol Heart CircPhysiol 295: H454-</w:t>
      </w:r>
      <w:proofErr w:type="gramStart"/>
      <w:r w:rsidRPr="001D3C29">
        <w:rPr>
          <w:rFonts w:ascii="Arial" w:eastAsia="Times New Roman" w:hAnsi="Arial" w:cs="Arial"/>
          <w:kern w:val="0"/>
          <w:lang w:val="en-US" w:eastAsia="es-ES"/>
        </w:rPr>
        <w:t>H465.</w:t>
      </w:r>
      <w:proofErr w:type="gramEnd"/>
    </w:p>
    <w:p w:rsidR="001D3C29" w:rsidRPr="001D3C29" w:rsidRDefault="001D3C29" w:rsidP="001D3C29">
      <w:pPr>
        <w:widowControl/>
        <w:numPr>
          <w:ilvl w:val="0"/>
          <w:numId w:val="43"/>
        </w:numPr>
        <w:suppressAutoHyphens w:val="0"/>
        <w:spacing w:before="240"/>
        <w:ind w:left="284" w:hanging="284"/>
        <w:jc w:val="both"/>
        <w:rPr>
          <w:rFonts w:ascii="Arial" w:eastAsia="Times New Roman" w:hAnsi="Arial" w:cs="Arial"/>
          <w:kern w:val="0"/>
          <w:lang w:val="es-ES" w:eastAsia="es-ES"/>
        </w:rPr>
      </w:pPr>
      <w:r w:rsidRPr="001D3C29">
        <w:rPr>
          <w:rFonts w:ascii="Arial" w:eastAsia="Times New Roman" w:hAnsi="Arial" w:cs="Arial"/>
          <w:kern w:val="0"/>
          <w:lang w:val="en-US" w:eastAsia="es-ES"/>
        </w:rPr>
        <w:t xml:space="preserve">WengroviztA, Brown M. (2000) Recommendations for blood lead screening of Medicaid- Eligible children aged 1-5 years: An updated approach to targeting a group at high risk. </w:t>
      </w:r>
      <w:r w:rsidRPr="001D3C29">
        <w:rPr>
          <w:rFonts w:ascii="Arial" w:eastAsia="Times New Roman" w:hAnsi="Arial" w:cs="Arial"/>
          <w:kern w:val="0"/>
          <w:lang w:val="es-ES" w:eastAsia="es-ES"/>
        </w:rPr>
        <w:t xml:space="preserve">Recommendations and reports 58 (RR09): 1-11. Consultada el 15 de Junio de 2011. </w:t>
      </w:r>
      <w:r w:rsidRPr="001D3C29">
        <w:rPr>
          <w:rFonts w:ascii="Arial" w:eastAsia="Times New Roman" w:hAnsi="Arial" w:cs="Arial"/>
          <w:kern w:val="0"/>
          <w:u w:val="single"/>
          <w:lang w:val="es-ES" w:eastAsia="es-ES"/>
        </w:rPr>
        <w:t>http//cdc.gov/</w:t>
      </w:r>
      <w:proofErr w:type="spellStart"/>
      <w:r w:rsidRPr="001D3C29">
        <w:rPr>
          <w:rFonts w:ascii="Arial" w:eastAsia="Times New Roman" w:hAnsi="Arial" w:cs="Arial"/>
          <w:kern w:val="0"/>
          <w:u w:val="single"/>
          <w:lang w:val="es-ES" w:eastAsia="es-ES"/>
        </w:rPr>
        <w:t>mmwr</w:t>
      </w:r>
      <w:proofErr w:type="spellEnd"/>
      <w:r w:rsidRPr="001D3C29">
        <w:rPr>
          <w:rFonts w:ascii="Arial" w:eastAsia="Times New Roman" w:hAnsi="Arial" w:cs="Arial"/>
          <w:kern w:val="0"/>
          <w:u w:val="single"/>
          <w:lang w:val="es-ES" w:eastAsia="es-ES"/>
        </w:rPr>
        <w:t>/</w:t>
      </w:r>
      <w:proofErr w:type="spellStart"/>
      <w:r w:rsidRPr="001D3C29">
        <w:rPr>
          <w:rFonts w:ascii="Arial" w:eastAsia="Times New Roman" w:hAnsi="Arial" w:cs="Arial"/>
          <w:kern w:val="0"/>
          <w:u w:val="single"/>
          <w:lang w:val="es-ES" w:eastAsia="es-ES"/>
        </w:rPr>
        <w:t>preview</w:t>
      </w:r>
      <w:proofErr w:type="spellEnd"/>
      <w:r w:rsidRPr="001D3C29">
        <w:rPr>
          <w:rFonts w:ascii="Arial" w:eastAsia="Times New Roman" w:hAnsi="Arial" w:cs="Arial"/>
          <w:kern w:val="0"/>
          <w:u w:val="single"/>
          <w:lang w:val="es-ES" w:eastAsia="es-ES"/>
        </w:rPr>
        <w:t>/</w:t>
      </w:r>
      <w:proofErr w:type="spellStart"/>
      <w:r w:rsidRPr="001D3C29">
        <w:rPr>
          <w:rFonts w:ascii="Arial" w:eastAsia="Times New Roman" w:hAnsi="Arial" w:cs="Arial"/>
          <w:kern w:val="0"/>
          <w:u w:val="single"/>
          <w:lang w:val="es-ES" w:eastAsia="es-ES"/>
        </w:rPr>
        <w:t>mmwrhtml</w:t>
      </w:r>
      <w:proofErr w:type="spellEnd"/>
      <w:r w:rsidRPr="001D3C29">
        <w:rPr>
          <w:rFonts w:ascii="Arial" w:eastAsia="Times New Roman" w:hAnsi="Arial" w:cs="Arial"/>
          <w:kern w:val="0"/>
          <w:u w:val="single"/>
          <w:lang w:val="es-ES" w:eastAsia="es-ES"/>
        </w:rPr>
        <w:t>/rr5089a1.htm</w:t>
      </w:r>
    </w:p>
    <w:p w:rsidR="001D3C29" w:rsidRPr="001D3C29" w:rsidRDefault="001D3C29" w:rsidP="001D3C29">
      <w:pPr>
        <w:widowControl/>
        <w:numPr>
          <w:ilvl w:val="0"/>
          <w:numId w:val="43"/>
        </w:numPr>
        <w:suppressAutoHyphens w:val="0"/>
        <w:spacing w:before="240"/>
        <w:ind w:left="284" w:hanging="284"/>
        <w:jc w:val="both"/>
        <w:rPr>
          <w:rFonts w:ascii="Arial" w:eastAsia="Times New Roman" w:hAnsi="Arial" w:cs="Arial"/>
          <w:kern w:val="0"/>
          <w:lang w:val="en-US" w:eastAsia="es-ES"/>
        </w:rPr>
      </w:pPr>
      <w:r w:rsidRPr="001D3C29">
        <w:rPr>
          <w:rFonts w:ascii="Arial" w:eastAsia="Times New Roman" w:hAnsi="Arial" w:cs="Arial"/>
          <w:kern w:val="0"/>
          <w:lang w:val="en-US" w:eastAsia="es-ES"/>
        </w:rPr>
        <w:t xml:space="preserve">WHO. World Health Organization. 2003. Lead in drinking-water. Background document for the development of WHO guidelines for drinking-water. World Health Organization. 2003. Disponibleen: http://www.who.int/water_sanitation_health/dwq/chemicals/lead.pdf. </w:t>
      </w:r>
    </w:p>
    <w:p w:rsidR="001D3C29" w:rsidRPr="001D3C29" w:rsidRDefault="001D3C29" w:rsidP="001D3C29">
      <w:pPr>
        <w:widowControl/>
        <w:numPr>
          <w:ilvl w:val="0"/>
          <w:numId w:val="43"/>
        </w:numPr>
        <w:suppressAutoHyphens w:val="0"/>
        <w:spacing w:before="240"/>
        <w:ind w:left="284" w:hanging="284"/>
        <w:jc w:val="both"/>
        <w:rPr>
          <w:rFonts w:ascii="Arial" w:eastAsia="Times New Roman" w:hAnsi="Arial" w:cs="Arial"/>
          <w:kern w:val="0"/>
          <w:lang w:val="en-US" w:eastAsia="es-ES"/>
        </w:rPr>
      </w:pPr>
      <w:r w:rsidRPr="001D3C29">
        <w:rPr>
          <w:rFonts w:ascii="Arial" w:eastAsia="Times New Roman" w:hAnsi="Arial" w:cs="Arial"/>
          <w:kern w:val="0"/>
          <w:lang w:val="en-US" w:eastAsia="es-ES"/>
        </w:rPr>
        <w:t xml:space="preserve">WHO. 2006. World Health Organization. Guidelines for drinking-water quality, third edition, incorporating first and second addenda. World Health Organization. Disponible en:http://www.who.int/water_sanitation_health/dwq/gdwq3rev/en/index.html. </w:t>
      </w:r>
    </w:p>
    <w:p w:rsidR="001D3C29" w:rsidRPr="001D3C29" w:rsidRDefault="001D3C29" w:rsidP="001D3C29">
      <w:pPr>
        <w:widowControl/>
        <w:suppressAutoHyphens w:val="0"/>
        <w:jc w:val="both"/>
        <w:rPr>
          <w:rFonts w:ascii="Arial" w:eastAsia="Times New Roman" w:hAnsi="Arial" w:cs="Arial"/>
          <w:kern w:val="0"/>
          <w:lang w:val="en-US" w:eastAsia="es-ES"/>
        </w:rPr>
      </w:pPr>
    </w:p>
    <w:p w:rsidR="001D3C29" w:rsidRDefault="001D3C29" w:rsidP="001D3C29">
      <w:pPr>
        <w:widowControl/>
        <w:suppressAutoHyphens w:val="0"/>
        <w:jc w:val="both"/>
        <w:rPr>
          <w:rFonts w:ascii="Arial" w:eastAsia="Times New Roman" w:hAnsi="Arial" w:cs="Arial"/>
          <w:b/>
          <w:bCs/>
          <w:color w:val="000000"/>
          <w:kern w:val="0"/>
          <w:lang w:val="en-US" w:eastAsia="es-ES"/>
        </w:rPr>
      </w:pPr>
    </w:p>
    <w:p w:rsidR="001D3C29" w:rsidRDefault="001D3C29" w:rsidP="001D3C29">
      <w:pPr>
        <w:widowControl/>
        <w:suppressAutoHyphens w:val="0"/>
        <w:jc w:val="both"/>
        <w:rPr>
          <w:rFonts w:ascii="Arial" w:eastAsia="Times New Roman" w:hAnsi="Arial" w:cs="Arial"/>
          <w:b/>
          <w:bCs/>
          <w:color w:val="000000"/>
          <w:kern w:val="0"/>
          <w:lang w:val="en-US" w:eastAsia="es-ES"/>
        </w:rPr>
      </w:pPr>
    </w:p>
    <w:p w:rsidR="001D3C29" w:rsidRDefault="001D3C29" w:rsidP="001D3C29">
      <w:pPr>
        <w:widowControl/>
        <w:suppressAutoHyphens w:val="0"/>
        <w:jc w:val="both"/>
        <w:rPr>
          <w:rFonts w:ascii="Arial" w:eastAsia="Times New Roman" w:hAnsi="Arial" w:cs="Arial"/>
          <w:b/>
          <w:bCs/>
          <w:color w:val="000000"/>
          <w:kern w:val="0"/>
          <w:lang w:val="en-US" w:eastAsia="es-ES"/>
        </w:rPr>
      </w:pPr>
    </w:p>
    <w:p w:rsidR="001D3C29" w:rsidRDefault="001D3C29" w:rsidP="001D3C29">
      <w:pPr>
        <w:widowControl/>
        <w:suppressAutoHyphens w:val="0"/>
        <w:jc w:val="both"/>
        <w:rPr>
          <w:rFonts w:ascii="Arial" w:eastAsia="Times New Roman" w:hAnsi="Arial" w:cs="Arial"/>
          <w:b/>
          <w:bCs/>
          <w:color w:val="000000"/>
          <w:kern w:val="0"/>
          <w:lang w:val="en-US" w:eastAsia="es-ES"/>
        </w:rPr>
      </w:pPr>
    </w:p>
    <w:p w:rsidR="001D3C29" w:rsidRDefault="001D3C29" w:rsidP="001D3C29">
      <w:pPr>
        <w:widowControl/>
        <w:suppressAutoHyphens w:val="0"/>
        <w:jc w:val="both"/>
        <w:rPr>
          <w:rFonts w:ascii="Arial" w:eastAsia="Times New Roman" w:hAnsi="Arial" w:cs="Arial"/>
          <w:b/>
          <w:bCs/>
          <w:color w:val="000000"/>
          <w:kern w:val="0"/>
          <w:lang w:val="en-US" w:eastAsia="es-ES"/>
        </w:rPr>
      </w:pPr>
    </w:p>
    <w:p w:rsidR="001D3C29" w:rsidRDefault="001D3C29" w:rsidP="001D3C29">
      <w:pPr>
        <w:widowControl/>
        <w:suppressAutoHyphens w:val="0"/>
        <w:jc w:val="both"/>
        <w:rPr>
          <w:rFonts w:ascii="Arial" w:eastAsia="Times New Roman" w:hAnsi="Arial" w:cs="Arial"/>
          <w:b/>
          <w:bCs/>
          <w:color w:val="000000"/>
          <w:kern w:val="0"/>
          <w:lang w:val="en-US" w:eastAsia="es-ES"/>
        </w:rPr>
      </w:pPr>
    </w:p>
    <w:p w:rsidR="001D3C29" w:rsidRPr="001D3C29" w:rsidRDefault="001D3C29" w:rsidP="001D3C29">
      <w:pPr>
        <w:widowControl/>
        <w:suppressAutoHyphens w:val="0"/>
        <w:jc w:val="both"/>
        <w:rPr>
          <w:rFonts w:ascii="Arial" w:eastAsia="Times New Roman" w:hAnsi="Arial" w:cs="Arial"/>
          <w:b/>
          <w:bCs/>
          <w:color w:val="000000"/>
          <w:kern w:val="0"/>
          <w:lang w:val="en-US" w:eastAsia="es-ES"/>
        </w:rPr>
      </w:pPr>
    </w:p>
    <w:p w:rsidR="001D3C29" w:rsidRPr="001D3C29" w:rsidRDefault="001D3C29" w:rsidP="001D3C29">
      <w:pPr>
        <w:widowControl/>
        <w:suppressAutoHyphens w:val="0"/>
        <w:jc w:val="both"/>
        <w:rPr>
          <w:rFonts w:ascii="Arial" w:eastAsia="Times New Roman" w:hAnsi="Arial" w:cs="Arial"/>
          <w:kern w:val="0"/>
          <w:lang w:val="en-US" w:eastAsia="es-ES"/>
        </w:rPr>
      </w:pPr>
    </w:p>
    <w:p w:rsidR="001D3C29" w:rsidRPr="001D3C29" w:rsidRDefault="001D3C29" w:rsidP="001D3C29">
      <w:pPr>
        <w:widowControl/>
        <w:suppressAutoHyphens w:val="0"/>
        <w:jc w:val="both"/>
        <w:rPr>
          <w:rFonts w:ascii="Arial" w:eastAsia="Times New Roman" w:hAnsi="Arial" w:cs="Arial"/>
          <w:kern w:val="0"/>
          <w:lang w:val="en-US" w:eastAsia="es-ES"/>
        </w:rPr>
      </w:pPr>
    </w:p>
    <w:p w:rsidR="005963EC" w:rsidRPr="00421A86" w:rsidRDefault="005963EC" w:rsidP="001D3C29">
      <w:pPr>
        <w:widowControl/>
        <w:suppressAutoHyphens w:val="0"/>
        <w:jc w:val="both"/>
        <w:rPr>
          <w:rFonts w:ascii="Arial" w:eastAsia="Times New Roman" w:hAnsi="Arial" w:cs="Arial"/>
          <w:kern w:val="0"/>
          <w:lang w:val="en-US" w:eastAsia="es-ES"/>
        </w:rPr>
      </w:pPr>
    </w:p>
    <w:p w:rsidR="001D3C29" w:rsidRPr="001D3C29" w:rsidRDefault="001D3C29" w:rsidP="001D3C29">
      <w:pPr>
        <w:widowControl/>
        <w:suppressAutoHyphens w:val="0"/>
        <w:jc w:val="both"/>
        <w:rPr>
          <w:rFonts w:ascii="Arial" w:eastAsia="Times New Roman" w:hAnsi="Arial" w:cs="Arial"/>
          <w:kern w:val="0"/>
          <w:lang w:val="es-CO" w:eastAsia="es-ES"/>
        </w:rPr>
      </w:pPr>
      <w:r w:rsidRPr="001D3C29">
        <w:rPr>
          <w:rFonts w:ascii="Arial" w:eastAsia="Times New Roman" w:hAnsi="Arial" w:cs="Arial"/>
          <w:kern w:val="0"/>
          <w:lang w:val="es-CO" w:eastAsia="es-ES"/>
        </w:rPr>
        <w:t xml:space="preserve">En este sentido, en mi condición de miembro del Congreso de la República y en uso del derecho consagrado en el artículo 152 de la Constitución Política de Colombia, me permito poner a consideración del Honorable </w:t>
      </w:r>
      <w:r w:rsidR="00844246">
        <w:rPr>
          <w:rFonts w:ascii="Arial" w:eastAsia="Times New Roman" w:hAnsi="Arial" w:cs="Arial"/>
          <w:kern w:val="0"/>
          <w:lang w:val="es-CO" w:eastAsia="es-ES"/>
        </w:rPr>
        <w:t>Congreso, este P</w:t>
      </w:r>
      <w:r w:rsidRPr="001D3C29">
        <w:rPr>
          <w:rFonts w:ascii="Arial" w:eastAsia="Times New Roman" w:hAnsi="Arial" w:cs="Arial"/>
          <w:kern w:val="0"/>
          <w:lang w:val="es-CO" w:eastAsia="es-ES"/>
        </w:rPr>
        <w:t>royecto de Ley.</w:t>
      </w:r>
    </w:p>
    <w:p w:rsidR="001D3C29" w:rsidRDefault="001D3C29" w:rsidP="001D3C29">
      <w:pPr>
        <w:widowControl/>
        <w:suppressAutoHyphens w:val="0"/>
        <w:jc w:val="both"/>
        <w:rPr>
          <w:rFonts w:ascii="Arial" w:eastAsia="Times New Roman" w:hAnsi="Arial" w:cs="Arial"/>
          <w:kern w:val="0"/>
          <w:lang w:val="es-CO" w:eastAsia="es-ES"/>
        </w:rPr>
      </w:pPr>
    </w:p>
    <w:p w:rsidR="003D6A1A" w:rsidRPr="001D3C29" w:rsidRDefault="003D6A1A" w:rsidP="001D3C29">
      <w:pPr>
        <w:widowControl/>
        <w:suppressAutoHyphens w:val="0"/>
        <w:jc w:val="both"/>
        <w:rPr>
          <w:rFonts w:ascii="Arial" w:eastAsia="Times New Roman" w:hAnsi="Arial" w:cs="Arial"/>
          <w:kern w:val="0"/>
          <w:lang w:val="es-CO" w:eastAsia="es-ES"/>
        </w:rPr>
      </w:pPr>
    </w:p>
    <w:p w:rsidR="001D3C29" w:rsidRPr="001D3C29" w:rsidRDefault="001D3C29" w:rsidP="001D3C29">
      <w:pPr>
        <w:widowControl/>
        <w:suppressAutoHyphens w:val="0"/>
        <w:rPr>
          <w:rFonts w:ascii="Arial" w:eastAsia="Times New Roman" w:hAnsi="Arial" w:cs="Arial"/>
          <w:kern w:val="0"/>
          <w:lang w:val="es-CO" w:eastAsia="es-ES"/>
        </w:rPr>
      </w:pPr>
    </w:p>
    <w:p w:rsidR="001D3C29" w:rsidRPr="001D3C29" w:rsidRDefault="001D3C29" w:rsidP="001D3C29">
      <w:pPr>
        <w:widowControl/>
        <w:suppressAutoHyphens w:val="0"/>
        <w:rPr>
          <w:rFonts w:ascii="Arial" w:eastAsia="Times New Roman" w:hAnsi="Arial" w:cs="Arial"/>
          <w:kern w:val="0"/>
          <w:lang w:val="es-CO" w:eastAsia="es-ES"/>
        </w:rPr>
      </w:pPr>
    </w:p>
    <w:p w:rsidR="001D3C29" w:rsidRPr="001D3C29" w:rsidRDefault="001D3C29" w:rsidP="001D3C29">
      <w:pPr>
        <w:widowControl/>
        <w:suppressAutoHyphens w:val="0"/>
        <w:rPr>
          <w:rFonts w:ascii="Arial" w:eastAsia="Times New Roman" w:hAnsi="Arial" w:cs="Arial"/>
          <w:kern w:val="0"/>
          <w:lang w:val="es-CO" w:eastAsia="es-ES"/>
        </w:rPr>
      </w:pPr>
    </w:p>
    <w:p w:rsidR="001D3C29" w:rsidRPr="001D3C29" w:rsidRDefault="001D3C29" w:rsidP="001D3C29">
      <w:pPr>
        <w:widowControl/>
        <w:suppressAutoHyphens w:val="0"/>
        <w:rPr>
          <w:rFonts w:ascii="Arial" w:eastAsia="Times New Roman" w:hAnsi="Arial" w:cs="Arial"/>
          <w:kern w:val="0"/>
          <w:lang w:val="es-CO" w:eastAsia="es-ES"/>
        </w:rPr>
      </w:pPr>
    </w:p>
    <w:p w:rsidR="001D3C29" w:rsidRPr="003D6A1A" w:rsidRDefault="001D3C29" w:rsidP="001D3C29">
      <w:pPr>
        <w:widowControl/>
        <w:suppressAutoHyphens w:val="0"/>
        <w:rPr>
          <w:rFonts w:ascii="Arial" w:eastAsia="Times New Roman" w:hAnsi="Arial" w:cs="Arial"/>
          <w:b/>
          <w:kern w:val="0"/>
          <w:lang w:val="es-CO" w:eastAsia="es-ES"/>
        </w:rPr>
      </w:pPr>
    </w:p>
    <w:p w:rsidR="001D3C29" w:rsidRPr="003D6A1A" w:rsidRDefault="001D3C29" w:rsidP="001D3C29">
      <w:pPr>
        <w:widowControl/>
        <w:suppressAutoHyphens w:val="0"/>
        <w:rPr>
          <w:rFonts w:ascii="Arial" w:eastAsia="Times New Roman" w:hAnsi="Arial" w:cs="Arial"/>
          <w:b/>
          <w:kern w:val="0"/>
          <w:lang w:val="es-CO" w:eastAsia="es-ES"/>
        </w:rPr>
      </w:pPr>
      <w:r w:rsidRPr="003D6A1A">
        <w:rPr>
          <w:rFonts w:ascii="Arial" w:eastAsia="Times New Roman" w:hAnsi="Arial" w:cs="Arial"/>
          <w:b/>
          <w:kern w:val="0"/>
          <w:lang w:val="es-CO" w:eastAsia="es-ES"/>
        </w:rPr>
        <w:t>NADIA BLEL SCAFF</w:t>
      </w:r>
    </w:p>
    <w:p w:rsidR="001D3C29" w:rsidRPr="001D3C29" w:rsidRDefault="001D3C29" w:rsidP="001D3C29">
      <w:pPr>
        <w:widowControl/>
        <w:suppressAutoHyphens w:val="0"/>
        <w:rPr>
          <w:rFonts w:ascii="Arial" w:eastAsia="Times New Roman" w:hAnsi="Arial" w:cs="Arial"/>
          <w:b/>
          <w:kern w:val="0"/>
          <w:lang w:val="es-CO" w:eastAsia="es-ES"/>
        </w:rPr>
      </w:pPr>
      <w:r w:rsidRPr="001D3C29">
        <w:rPr>
          <w:rFonts w:ascii="Arial" w:eastAsia="Times New Roman" w:hAnsi="Arial" w:cs="Arial"/>
          <w:kern w:val="0"/>
          <w:lang w:val="es-CO" w:eastAsia="es-ES"/>
        </w:rPr>
        <w:t>SENADORA DE LA REPUBLICA</w:t>
      </w:r>
      <w:r w:rsidRPr="001D3C29">
        <w:rPr>
          <w:rFonts w:ascii="Arial" w:eastAsia="Times New Roman" w:hAnsi="Arial" w:cs="Arial"/>
          <w:b/>
          <w:kern w:val="0"/>
          <w:lang w:val="es-CO" w:eastAsia="es-ES"/>
        </w:rPr>
        <w:br w:type="page"/>
      </w:r>
    </w:p>
    <w:p w:rsidR="005963EC" w:rsidRDefault="005963EC" w:rsidP="001D3C29">
      <w:pPr>
        <w:widowControl/>
        <w:suppressAutoHyphens w:val="0"/>
        <w:jc w:val="center"/>
        <w:rPr>
          <w:rFonts w:ascii="Arial" w:eastAsia="Times New Roman" w:hAnsi="Arial" w:cs="Arial"/>
          <w:b/>
          <w:kern w:val="0"/>
          <w:lang w:val="es-ES" w:eastAsia="es-ES"/>
        </w:rPr>
      </w:pPr>
    </w:p>
    <w:p w:rsidR="001D3C29" w:rsidRPr="001D3C29" w:rsidRDefault="001D3C29" w:rsidP="001D3C29">
      <w:pPr>
        <w:widowControl/>
        <w:suppressAutoHyphens w:val="0"/>
        <w:jc w:val="center"/>
        <w:rPr>
          <w:rFonts w:ascii="Arial" w:eastAsia="Times New Roman" w:hAnsi="Arial" w:cs="Arial"/>
          <w:b/>
          <w:kern w:val="0"/>
          <w:lang w:val="es-ES" w:eastAsia="es-ES"/>
        </w:rPr>
      </w:pPr>
      <w:r w:rsidRPr="001D3C29">
        <w:rPr>
          <w:rFonts w:ascii="Arial" w:eastAsia="Times New Roman" w:hAnsi="Arial" w:cs="Arial"/>
          <w:b/>
          <w:kern w:val="0"/>
          <w:lang w:val="es-ES" w:eastAsia="es-ES"/>
        </w:rPr>
        <w:t>Proyecto de Ley No. ______</w:t>
      </w:r>
    </w:p>
    <w:p w:rsidR="001D3C29" w:rsidRPr="001D3C29" w:rsidRDefault="001D3C29" w:rsidP="001D3C29">
      <w:pPr>
        <w:widowControl/>
        <w:suppressAutoHyphens w:val="0"/>
        <w:jc w:val="center"/>
        <w:rPr>
          <w:rFonts w:ascii="Arial" w:eastAsia="Times New Roman" w:hAnsi="Arial" w:cs="Arial"/>
          <w:b/>
          <w:kern w:val="0"/>
          <w:lang w:val="es-ES" w:eastAsia="es-ES"/>
        </w:rPr>
      </w:pPr>
    </w:p>
    <w:p w:rsidR="001D3C29" w:rsidRPr="001D3C29" w:rsidRDefault="001D3C29" w:rsidP="001D3C29">
      <w:pPr>
        <w:widowControl/>
        <w:suppressAutoHyphens w:val="0"/>
        <w:jc w:val="both"/>
        <w:rPr>
          <w:rFonts w:ascii="Arial" w:eastAsia="Times New Roman" w:hAnsi="Arial" w:cs="Arial"/>
          <w:b/>
          <w:kern w:val="0"/>
          <w:lang w:val="es-ES" w:eastAsia="es-ES"/>
        </w:rPr>
      </w:pPr>
      <w:r w:rsidRPr="001D3C29">
        <w:rPr>
          <w:rFonts w:ascii="Arial" w:eastAsia="Times New Roman" w:hAnsi="Arial" w:cs="Arial"/>
          <w:b/>
          <w:kern w:val="0"/>
          <w:lang w:val="es-ES" w:eastAsia="es-ES"/>
        </w:rPr>
        <w:t>Por medio del cual se establecen disposiciones para garantizar el derecho de los niños y niñas a desarrollarse física e intelectualmente en un ambiente libre de plomo, se fijan límites para el contenido de plomo en productos comercializados en el país y se dictan otras disposiciones.</w:t>
      </w:r>
    </w:p>
    <w:p w:rsidR="001D3C29" w:rsidRPr="001D3C29" w:rsidRDefault="001D3C29" w:rsidP="001D3C29">
      <w:pPr>
        <w:widowControl/>
        <w:suppressAutoHyphens w:val="0"/>
        <w:jc w:val="center"/>
        <w:rPr>
          <w:rFonts w:ascii="Arial" w:eastAsia="Times New Roman" w:hAnsi="Arial" w:cs="Arial"/>
          <w:kern w:val="0"/>
          <w:lang w:val="es-ES" w:eastAsia="es-ES"/>
        </w:rPr>
      </w:pPr>
    </w:p>
    <w:p w:rsidR="001D3C29" w:rsidRPr="001D3C29" w:rsidRDefault="001D3C29" w:rsidP="001D3C29">
      <w:pPr>
        <w:widowControl/>
        <w:suppressAutoHyphens w:val="0"/>
        <w:jc w:val="center"/>
        <w:rPr>
          <w:rFonts w:ascii="Arial" w:eastAsia="Times New Roman" w:hAnsi="Arial" w:cs="Arial"/>
          <w:b/>
          <w:kern w:val="0"/>
          <w:lang w:val="es-ES" w:eastAsia="es-ES"/>
        </w:rPr>
      </w:pPr>
    </w:p>
    <w:p w:rsidR="001D3C29" w:rsidRPr="001D3C29" w:rsidRDefault="001D3C29" w:rsidP="001D3C29">
      <w:pPr>
        <w:widowControl/>
        <w:suppressAutoHyphens w:val="0"/>
        <w:jc w:val="center"/>
        <w:rPr>
          <w:rFonts w:ascii="Arial" w:eastAsia="Times New Roman" w:hAnsi="Arial" w:cs="Arial"/>
          <w:b/>
          <w:kern w:val="0"/>
          <w:lang w:val="es-ES" w:eastAsia="es-ES"/>
        </w:rPr>
      </w:pPr>
      <w:r w:rsidRPr="001D3C29">
        <w:rPr>
          <w:rFonts w:ascii="Arial" w:eastAsia="Times New Roman" w:hAnsi="Arial" w:cs="Arial"/>
          <w:b/>
          <w:kern w:val="0"/>
          <w:lang w:val="es-ES" w:eastAsia="es-ES"/>
        </w:rPr>
        <w:t xml:space="preserve">El Congreso de la República de Colombia </w:t>
      </w:r>
    </w:p>
    <w:p w:rsidR="001D3C29" w:rsidRPr="001D3C29" w:rsidRDefault="001D3C29" w:rsidP="001D3C29">
      <w:pPr>
        <w:widowControl/>
        <w:suppressAutoHyphens w:val="0"/>
        <w:jc w:val="center"/>
        <w:rPr>
          <w:rFonts w:ascii="Arial" w:eastAsia="Times New Roman" w:hAnsi="Arial" w:cs="Arial"/>
          <w:b/>
          <w:kern w:val="0"/>
          <w:lang w:val="es-ES" w:eastAsia="es-ES"/>
        </w:rPr>
      </w:pPr>
      <w:r w:rsidRPr="001D3C29">
        <w:rPr>
          <w:rFonts w:ascii="Arial" w:eastAsia="Times New Roman" w:hAnsi="Arial" w:cs="Arial"/>
          <w:b/>
          <w:kern w:val="0"/>
          <w:lang w:val="es-ES" w:eastAsia="es-ES"/>
        </w:rPr>
        <w:t>DECRETA:</w:t>
      </w:r>
    </w:p>
    <w:p w:rsidR="001D3C29" w:rsidRPr="001D3C29" w:rsidRDefault="001D3C29" w:rsidP="001D3C29">
      <w:pPr>
        <w:widowControl/>
        <w:suppressAutoHyphens w:val="0"/>
        <w:jc w:val="center"/>
        <w:rPr>
          <w:rFonts w:ascii="Arial" w:eastAsia="Times New Roman" w:hAnsi="Arial" w:cs="Arial"/>
          <w:b/>
          <w:kern w:val="0"/>
          <w:lang w:val="es-ES" w:eastAsia="es-ES"/>
        </w:rPr>
      </w:pPr>
    </w:p>
    <w:p w:rsidR="001D3C29" w:rsidRPr="001D3C29" w:rsidRDefault="001D3C29" w:rsidP="001D3C29">
      <w:pPr>
        <w:widowControl/>
        <w:suppressAutoHyphens w:val="0"/>
        <w:jc w:val="center"/>
        <w:rPr>
          <w:rFonts w:ascii="Arial" w:eastAsia="Times New Roman" w:hAnsi="Arial" w:cs="Arial"/>
          <w:b/>
          <w:kern w:val="0"/>
          <w:lang w:val="es-ES" w:eastAsia="es-ES"/>
        </w:rPr>
      </w:pPr>
    </w:p>
    <w:p w:rsidR="001D3C29" w:rsidRPr="001D3C29" w:rsidRDefault="001D3C29" w:rsidP="001D3C29">
      <w:pPr>
        <w:widowControl/>
        <w:suppressAutoHyphens w:val="0"/>
        <w:jc w:val="center"/>
        <w:rPr>
          <w:rFonts w:ascii="Arial" w:eastAsia="Times New Roman" w:hAnsi="Arial" w:cs="Arial"/>
          <w:b/>
          <w:kern w:val="0"/>
          <w:lang w:val="es-ES" w:eastAsia="es-ES"/>
        </w:rPr>
      </w:pPr>
    </w:p>
    <w:p w:rsidR="001D3C29" w:rsidRPr="001D3C29" w:rsidRDefault="001D3C29" w:rsidP="001D3C29">
      <w:pPr>
        <w:widowControl/>
        <w:suppressAutoHyphens w:val="0"/>
        <w:jc w:val="center"/>
        <w:rPr>
          <w:rFonts w:ascii="Arial" w:eastAsia="Times New Roman" w:hAnsi="Arial" w:cs="Arial"/>
          <w:b/>
          <w:kern w:val="0"/>
          <w:lang w:val="es-ES" w:eastAsia="es-ES"/>
        </w:rPr>
      </w:pPr>
      <w:r w:rsidRPr="001D3C29">
        <w:rPr>
          <w:rFonts w:ascii="Arial" w:eastAsia="Times New Roman" w:hAnsi="Arial" w:cs="Arial"/>
          <w:b/>
          <w:kern w:val="0"/>
          <w:lang w:val="es-ES" w:eastAsia="es-ES"/>
        </w:rPr>
        <w:t>CAPITULO I</w:t>
      </w:r>
    </w:p>
    <w:p w:rsidR="001D3C29" w:rsidRPr="001D3C29" w:rsidRDefault="001D3C29" w:rsidP="001D3C29">
      <w:pPr>
        <w:widowControl/>
        <w:suppressAutoHyphens w:val="0"/>
        <w:jc w:val="center"/>
        <w:rPr>
          <w:rFonts w:ascii="Arial" w:eastAsia="Times New Roman" w:hAnsi="Arial" w:cs="Arial"/>
          <w:b/>
          <w:kern w:val="0"/>
          <w:lang w:val="es-ES" w:eastAsia="es-ES"/>
        </w:rPr>
      </w:pPr>
    </w:p>
    <w:p w:rsidR="001D3C29" w:rsidRPr="001D3C29" w:rsidRDefault="001D3C29" w:rsidP="001D3C29">
      <w:pPr>
        <w:widowControl/>
        <w:suppressAutoHyphens w:val="0"/>
        <w:jc w:val="center"/>
        <w:rPr>
          <w:rFonts w:ascii="Arial" w:eastAsia="Times New Roman" w:hAnsi="Arial" w:cs="Arial"/>
          <w:b/>
          <w:kern w:val="0"/>
          <w:lang w:val="es-ES" w:eastAsia="es-ES"/>
        </w:rPr>
      </w:pPr>
      <w:r w:rsidRPr="001D3C29">
        <w:rPr>
          <w:rFonts w:ascii="Arial" w:eastAsia="Times New Roman" w:hAnsi="Arial" w:cs="Arial"/>
          <w:b/>
          <w:kern w:val="0"/>
          <w:lang w:val="es-ES" w:eastAsia="es-ES"/>
        </w:rPr>
        <w:t>Disposiciones Generales</w:t>
      </w:r>
    </w:p>
    <w:p w:rsidR="001D3C29" w:rsidRPr="001D3C29" w:rsidRDefault="001D3C29" w:rsidP="001D3C29">
      <w:pPr>
        <w:widowControl/>
        <w:suppressAutoHyphens w:val="0"/>
        <w:jc w:val="both"/>
        <w:rPr>
          <w:rFonts w:ascii="Arial" w:eastAsia="Times New Roman" w:hAnsi="Arial" w:cs="Arial"/>
          <w:kern w:val="0"/>
          <w:lang w:val="es-ES" w:eastAsia="es-ES"/>
        </w:rPr>
      </w:pPr>
    </w:p>
    <w:p w:rsidR="001D3C29" w:rsidRPr="001D3C29" w:rsidRDefault="001D3C29" w:rsidP="001D3C29">
      <w:pPr>
        <w:widowControl/>
        <w:suppressAutoHyphens w:val="0"/>
        <w:jc w:val="both"/>
        <w:rPr>
          <w:rFonts w:ascii="Arial" w:eastAsia="Times New Roman" w:hAnsi="Arial" w:cs="Arial"/>
          <w:kern w:val="0"/>
          <w:lang w:val="es-ES" w:eastAsia="es-ES"/>
        </w:rPr>
      </w:pPr>
    </w:p>
    <w:p w:rsidR="001D3C29" w:rsidRPr="001D3C29" w:rsidRDefault="001D3C29" w:rsidP="001D3C29">
      <w:pPr>
        <w:widowControl/>
        <w:suppressAutoHyphens w:val="0"/>
        <w:jc w:val="both"/>
        <w:rPr>
          <w:rFonts w:ascii="Arial" w:eastAsia="Times New Roman" w:hAnsi="Arial" w:cs="Arial"/>
          <w:kern w:val="0"/>
          <w:lang w:val="es-ES" w:eastAsia="es-ES"/>
        </w:rPr>
      </w:pPr>
      <w:r w:rsidRPr="001D3C29">
        <w:rPr>
          <w:rFonts w:ascii="Arial" w:eastAsia="Times New Roman" w:hAnsi="Arial" w:cs="Arial"/>
          <w:b/>
          <w:kern w:val="0"/>
          <w:lang w:val="es-ES" w:eastAsia="es-ES"/>
        </w:rPr>
        <w:t>Artículo 1. Objeto</w:t>
      </w:r>
      <w:r w:rsidRPr="001D3C29">
        <w:rPr>
          <w:rFonts w:ascii="Arial" w:eastAsia="Times New Roman" w:hAnsi="Arial" w:cs="Arial"/>
          <w:kern w:val="0"/>
          <w:lang w:val="es-ES" w:eastAsia="es-ES"/>
        </w:rPr>
        <w:t xml:space="preserve">. Garantizar que el desarrollo físico, intelectual y en general la salud de las personas, en especial la de los niños y niñas colombianos no sea afectada por la presencia de metales pesados como el Plomo (Pb) en el ambiente; salvaguardando así el derechos a la salud, el derecho a gozar de un ambiente sano y a la vida digna, consagradas en la Constitución Política, las leyes y en los tratados internacionales. </w:t>
      </w:r>
    </w:p>
    <w:p w:rsidR="001D3C29" w:rsidRPr="001D3C29" w:rsidRDefault="001D3C29" w:rsidP="001D3C29">
      <w:pPr>
        <w:widowControl/>
        <w:suppressAutoHyphens w:val="0"/>
        <w:jc w:val="both"/>
        <w:rPr>
          <w:rFonts w:ascii="Arial" w:eastAsia="Times New Roman" w:hAnsi="Arial"/>
          <w:b/>
          <w:kern w:val="0"/>
          <w:lang w:val="es-ES" w:eastAsia="es-ES"/>
        </w:rPr>
      </w:pPr>
    </w:p>
    <w:p w:rsidR="001D3C29" w:rsidRPr="001D3C29" w:rsidRDefault="001D3C29" w:rsidP="001D3C29">
      <w:pPr>
        <w:widowControl/>
        <w:suppressAutoHyphens w:val="0"/>
        <w:jc w:val="both"/>
        <w:rPr>
          <w:rFonts w:ascii="Arial" w:eastAsia="Times New Roman" w:hAnsi="Arial"/>
          <w:b/>
          <w:kern w:val="0"/>
          <w:lang w:val="es-ES" w:eastAsia="es-ES"/>
        </w:rPr>
      </w:pPr>
      <w:r w:rsidRPr="001D3C29">
        <w:rPr>
          <w:rFonts w:ascii="Arial" w:eastAsia="Times New Roman" w:hAnsi="Arial"/>
          <w:b/>
          <w:kern w:val="0"/>
          <w:lang w:val="es-ES" w:eastAsia="es-ES"/>
        </w:rPr>
        <w:t>Artículo 2º. Definiciones.</w:t>
      </w:r>
    </w:p>
    <w:p w:rsidR="001D3C29" w:rsidRPr="001D3C29" w:rsidRDefault="001D3C29" w:rsidP="001D3C29">
      <w:pPr>
        <w:widowControl/>
        <w:suppressAutoHyphens w:val="0"/>
        <w:jc w:val="both"/>
        <w:rPr>
          <w:rFonts w:ascii="Arial" w:eastAsia="Times New Roman" w:hAnsi="Arial"/>
          <w:kern w:val="0"/>
          <w:lang w:val="es-ES" w:eastAsia="es-ES"/>
        </w:rPr>
      </w:pPr>
      <w:r w:rsidRPr="001D3C29">
        <w:rPr>
          <w:rFonts w:ascii="Arial" w:eastAsia="Times New Roman" w:hAnsi="Arial"/>
          <w:i/>
          <w:kern w:val="0"/>
          <w:lang w:val="es-ES" w:eastAsia="es-ES"/>
        </w:rPr>
        <w:t>Microgramos por decilitro (</w:t>
      </w:r>
      <w:r w:rsidRPr="001D3C29">
        <w:rPr>
          <w:rFonts w:ascii="Arial" w:eastAsia="Times New Roman" w:hAnsi="Arial" w:cs="Arial"/>
          <w:i/>
          <w:kern w:val="0"/>
          <w:lang w:val="es-ES" w:eastAsia="es-ES"/>
        </w:rPr>
        <w:t>µ</w:t>
      </w:r>
      <w:r w:rsidRPr="001D3C29">
        <w:rPr>
          <w:rFonts w:ascii="Arial" w:eastAsia="Times New Roman" w:hAnsi="Arial"/>
          <w:i/>
          <w:kern w:val="0"/>
          <w:lang w:val="es-ES" w:eastAsia="es-ES"/>
        </w:rPr>
        <w:t>g/dL)</w:t>
      </w:r>
      <w:r w:rsidR="00844246">
        <w:rPr>
          <w:rFonts w:ascii="Arial" w:eastAsia="Times New Roman" w:hAnsi="Arial"/>
          <w:kern w:val="0"/>
          <w:lang w:val="es-ES" w:eastAsia="es-ES"/>
        </w:rPr>
        <w:t>: U</w:t>
      </w:r>
      <w:r w:rsidRPr="001D3C29">
        <w:rPr>
          <w:rFonts w:ascii="Arial" w:eastAsia="Times New Roman" w:hAnsi="Arial"/>
          <w:kern w:val="0"/>
          <w:lang w:val="es-ES" w:eastAsia="es-ES"/>
        </w:rPr>
        <w:t>nidad de medida de concentración de una sustancia que significa una millonésima parte de un gramo por cada 100 mililitros de solución.</w:t>
      </w:r>
    </w:p>
    <w:p w:rsidR="001D3C29" w:rsidRPr="001D3C29" w:rsidRDefault="001D3C29" w:rsidP="001D3C29">
      <w:pPr>
        <w:widowControl/>
        <w:suppressAutoHyphens w:val="0"/>
        <w:jc w:val="both"/>
        <w:rPr>
          <w:rFonts w:ascii="Arial" w:eastAsia="Times New Roman" w:hAnsi="Arial"/>
          <w:kern w:val="0"/>
          <w:lang w:val="es-ES" w:eastAsia="es-ES"/>
        </w:rPr>
      </w:pPr>
      <w:r w:rsidRPr="001D3C29">
        <w:rPr>
          <w:rFonts w:ascii="Arial" w:eastAsia="Times New Roman" w:hAnsi="Arial"/>
          <w:i/>
          <w:kern w:val="0"/>
          <w:lang w:val="es-ES" w:eastAsia="es-ES"/>
        </w:rPr>
        <w:t>Partes por millón (ppm):</w:t>
      </w:r>
      <w:r w:rsidR="00844246">
        <w:rPr>
          <w:rFonts w:ascii="Arial" w:eastAsia="Times New Roman" w:hAnsi="Arial"/>
          <w:kern w:val="0"/>
          <w:lang w:val="es-ES" w:eastAsia="es-ES"/>
        </w:rPr>
        <w:t xml:space="preserve"> U</w:t>
      </w:r>
      <w:r w:rsidRPr="001D3C29">
        <w:rPr>
          <w:rFonts w:ascii="Arial" w:eastAsia="Times New Roman" w:hAnsi="Arial"/>
          <w:kern w:val="0"/>
          <w:lang w:val="es-ES" w:eastAsia="es-ES"/>
        </w:rPr>
        <w:t>nidad de medida de concentración de una sustancia que indica la presencia de una millonésima parte de una sustancia en una unidad dada.</w:t>
      </w:r>
    </w:p>
    <w:p w:rsidR="001D3C29" w:rsidRPr="001D3C29" w:rsidRDefault="001D3C29" w:rsidP="001D3C29">
      <w:pPr>
        <w:widowControl/>
        <w:suppressAutoHyphens w:val="0"/>
        <w:jc w:val="both"/>
        <w:rPr>
          <w:rFonts w:ascii="Arial" w:eastAsia="Times New Roman" w:hAnsi="Arial"/>
          <w:b/>
          <w:kern w:val="0"/>
          <w:lang w:val="es-ES" w:eastAsia="es-ES"/>
        </w:rPr>
      </w:pPr>
    </w:p>
    <w:p w:rsidR="001D3C29" w:rsidRPr="001D3C29" w:rsidRDefault="001D3C29" w:rsidP="001D3C29">
      <w:pPr>
        <w:widowControl/>
        <w:suppressAutoHyphens w:val="0"/>
        <w:jc w:val="both"/>
        <w:rPr>
          <w:rFonts w:ascii="Arial" w:eastAsia="Times New Roman" w:hAnsi="Arial" w:cs="Arial"/>
          <w:kern w:val="0"/>
          <w:lang w:val="es-ES" w:eastAsia="es-ES"/>
        </w:rPr>
      </w:pPr>
      <w:r w:rsidRPr="001D3C29">
        <w:rPr>
          <w:rFonts w:ascii="Arial" w:eastAsia="Times New Roman" w:hAnsi="Arial"/>
          <w:b/>
          <w:kern w:val="0"/>
          <w:lang w:val="es-ES" w:eastAsia="es-ES"/>
        </w:rPr>
        <w:t>Artículo 3º</w:t>
      </w:r>
      <w:r w:rsidRPr="001D3C29">
        <w:rPr>
          <w:rFonts w:ascii="Arial" w:eastAsia="Times New Roman" w:hAnsi="Arial"/>
          <w:kern w:val="0"/>
          <w:lang w:val="es-ES" w:eastAsia="es-ES"/>
        </w:rPr>
        <w:t xml:space="preserve">. </w:t>
      </w:r>
      <w:r w:rsidRPr="001D3C29">
        <w:rPr>
          <w:rFonts w:ascii="Arial" w:eastAsia="Times New Roman" w:hAnsi="Arial"/>
          <w:b/>
          <w:kern w:val="0"/>
          <w:lang w:val="es-ES" w:eastAsia="es-ES"/>
        </w:rPr>
        <w:t>Finalidad de la ley</w:t>
      </w:r>
      <w:r w:rsidRPr="001D3C29">
        <w:rPr>
          <w:rFonts w:ascii="Arial" w:eastAsia="Times New Roman" w:hAnsi="Arial"/>
          <w:kern w:val="0"/>
          <w:lang w:val="es-ES" w:eastAsia="es-ES"/>
        </w:rPr>
        <w:t xml:space="preserve">: La </w:t>
      </w:r>
      <w:r w:rsidRPr="001D3C29">
        <w:rPr>
          <w:rFonts w:ascii="Arial" w:eastAsia="Times New Roman" w:hAnsi="Arial" w:cs="Arial"/>
          <w:kern w:val="0"/>
          <w:lang w:val="es-ES" w:eastAsia="es-ES"/>
        </w:rPr>
        <w:t>finalidad de la presente ley es fijar los lineamientos generales que conlleven a prevenir la contaminación ambiental y la intoxicación por plomo, así como enfermedades producto de la exposición al metal.</w:t>
      </w:r>
    </w:p>
    <w:p w:rsidR="001D3C29" w:rsidRPr="001D3C29" w:rsidRDefault="001D3C29" w:rsidP="001D3C29">
      <w:pPr>
        <w:widowControl/>
        <w:suppressAutoHyphens w:val="0"/>
        <w:jc w:val="both"/>
        <w:rPr>
          <w:rFonts w:ascii="Arial" w:eastAsia="Times New Roman" w:hAnsi="Arial" w:cs="Arial"/>
          <w:kern w:val="0"/>
          <w:lang w:val="es-ES" w:eastAsia="es-ES"/>
        </w:rPr>
      </w:pPr>
    </w:p>
    <w:p w:rsidR="001D3C29" w:rsidRPr="001D3C29" w:rsidRDefault="001D3C29" w:rsidP="001D3C29">
      <w:pPr>
        <w:widowControl/>
        <w:suppressAutoHyphens w:val="0"/>
        <w:jc w:val="both"/>
        <w:rPr>
          <w:rFonts w:ascii="Arial" w:eastAsia="Times New Roman" w:hAnsi="Arial"/>
          <w:kern w:val="0"/>
          <w:lang w:val="es-ES" w:eastAsia="es-ES"/>
        </w:rPr>
      </w:pPr>
      <w:r w:rsidRPr="001D3C29">
        <w:rPr>
          <w:rFonts w:ascii="Arial" w:eastAsia="Times New Roman" w:hAnsi="Arial"/>
          <w:b/>
          <w:kern w:val="0"/>
          <w:lang w:val="es-ES" w:eastAsia="es-ES"/>
        </w:rPr>
        <w:t xml:space="preserve">Artículo 4º. Ámbito de aplicación. </w:t>
      </w:r>
      <w:r w:rsidRPr="001D3C29">
        <w:rPr>
          <w:rFonts w:ascii="Arial" w:eastAsia="Times New Roman" w:hAnsi="Arial"/>
          <w:kern w:val="0"/>
          <w:lang w:val="es-ES" w:eastAsia="es-ES"/>
        </w:rPr>
        <w:t>El ámbito de aplicación de la presente ley cobija a todos los agentes públicos y privados, ya sean personas naturales o jurídicas, que intervengan en la utilización, fabricación, distribución y venta de objetos que contengan plomo.</w:t>
      </w:r>
    </w:p>
    <w:p w:rsidR="005963EC" w:rsidRDefault="005963EC" w:rsidP="001D3C29">
      <w:pPr>
        <w:widowControl/>
        <w:suppressAutoHyphens w:val="0"/>
        <w:jc w:val="both"/>
        <w:rPr>
          <w:rFonts w:ascii="Arial" w:eastAsia="Times New Roman" w:hAnsi="Arial"/>
          <w:b/>
          <w:kern w:val="0"/>
          <w:lang w:val="es-ES" w:eastAsia="es-ES"/>
        </w:rPr>
      </w:pPr>
    </w:p>
    <w:p w:rsidR="00421A86" w:rsidRPr="00421A86" w:rsidRDefault="001D3C29" w:rsidP="00421A86">
      <w:pPr>
        <w:autoSpaceDE w:val="0"/>
        <w:autoSpaceDN w:val="0"/>
        <w:adjustRightInd w:val="0"/>
        <w:jc w:val="both"/>
        <w:rPr>
          <w:rFonts w:ascii="Arial" w:eastAsia="Times New Roman" w:hAnsi="Arial"/>
          <w:kern w:val="0"/>
          <w:lang w:val="es-ES" w:eastAsia="es-ES"/>
        </w:rPr>
      </w:pPr>
      <w:r w:rsidRPr="001D3C29">
        <w:rPr>
          <w:rFonts w:ascii="Arial" w:eastAsia="Times New Roman" w:hAnsi="Arial"/>
          <w:b/>
          <w:kern w:val="0"/>
          <w:lang w:val="es-ES" w:eastAsia="es-ES"/>
        </w:rPr>
        <w:t xml:space="preserve">Artículo 5º. Declaratoria de interés general. </w:t>
      </w:r>
      <w:r w:rsidRPr="001D3C29">
        <w:rPr>
          <w:rFonts w:ascii="Arial" w:eastAsia="Times New Roman" w:hAnsi="Arial"/>
          <w:kern w:val="0"/>
          <w:lang w:val="es-ES" w:eastAsia="es-ES"/>
        </w:rPr>
        <w:t xml:space="preserve">Se declara de interés general la regulación que permita controlar, en una forma integral, la contaminación por </w:t>
      </w:r>
      <w:r w:rsidRPr="001D3C29">
        <w:rPr>
          <w:rFonts w:ascii="Arial" w:eastAsia="Times New Roman" w:hAnsi="Arial"/>
          <w:kern w:val="0"/>
          <w:lang w:val="es-ES" w:eastAsia="es-ES"/>
        </w:rPr>
        <w:lastRenderedPageBreak/>
        <w:t>plomo.</w:t>
      </w:r>
      <w:r w:rsidR="00421A86">
        <w:rPr>
          <w:rFonts w:ascii="Arial" w:eastAsia="Times New Roman" w:hAnsi="Arial"/>
          <w:kern w:val="0"/>
          <w:lang w:val="es-ES" w:eastAsia="es-ES"/>
        </w:rPr>
        <w:t xml:space="preserve"> El Estado, a través de las distintas dependencias, o entidades promoverá acciones tendientes a la p</w:t>
      </w:r>
      <w:r w:rsidR="00421A86" w:rsidRPr="00421A86">
        <w:rPr>
          <w:rFonts w:ascii="Arial" w:eastAsia="Times New Roman" w:hAnsi="Arial"/>
          <w:kern w:val="0"/>
          <w:lang w:val="es-ES" w:eastAsia="es-ES"/>
        </w:rPr>
        <w:t>revención primaria</w:t>
      </w:r>
      <w:r w:rsidR="00421A86">
        <w:rPr>
          <w:rFonts w:ascii="Arial" w:eastAsia="Times New Roman" w:hAnsi="Arial"/>
          <w:kern w:val="0"/>
          <w:lang w:val="es-ES" w:eastAsia="es-ES"/>
        </w:rPr>
        <w:t>, dirigida a e</w:t>
      </w:r>
      <w:r w:rsidR="00421A86" w:rsidRPr="00421A86">
        <w:rPr>
          <w:rFonts w:ascii="Arial" w:eastAsia="Times New Roman" w:hAnsi="Arial"/>
          <w:kern w:val="0"/>
          <w:lang w:val="es-ES" w:eastAsia="es-ES"/>
        </w:rPr>
        <w:t>vitar la contaminación con plomo como primera instancia.</w:t>
      </w:r>
      <w:r w:rsidR="00421A86">
        <w:rPr>
          <w:rFonts w:ascii="Arial" w:eastAsia="Times New Roman" w:hAnsi="Arial"/>
          <w:kern w:val="0"/>
          <w:lang w:val="es-ES" w:eastAsia="es-ES"/>
        </w:rPr>
        <w:t xml:space="preserve"> Y ejecutará acciones c</w:t>
      </w:r>
      <w:r w:rsidR="00421A86" w:rsidRPr="00421A86">
        <w:rPr>
          <w:rFonts w:ascii="Arial" w:eastAsia="Times New Roman" w:hAnsi="Arial"/>
          <w:kern w:val="0"/>
          <w:lang w:val="es-ES" w:eastAsia="es-ES"/>
        </w:rPr>
        <w:t>onsiste en alejar a la persona de la fuente de exposición al plomo</w:t>
      </w:r>
      <w:r w:rsidR="00421A86">
        <w:rPr>
          <w:rFonts w:ascii="Arial" w:eastAsia="Times New Roman" w:hAnsi="Arial"/>
          <w:kern w:val="0"/>
          <w:lang w:val="es-ES" w:eastAsia="es-ES"/>
        </w:rPr>
        <w:t xml:space="preserve"> y en todo caso, restablecimiento de la salud, evitando</w:t>
      </w:r>
      <w:r w:rsidR="00421A86" w:rsidRPr="00421A86">
        <w:rPr>
          <w:rFonts w:ascii="Arial" w:eastAsia="Times New Roman" w:hAnsi="Arial"/>
          <w:kern w:val="0"/>
          <w:lang w:val="es-ES" w:eastAsia="es-ES"/>
        </w:rPr>
        <w:t xml:space="preserve"> que el plomo que ya está en el organismo de una persona siga produciendo daño.</w:t>
      </w:r>
    </w:p>
    <w:p w:rsidR="001D3C29" w:rsidRPr="001D3C29" w:rsidRDefault="001D3C29" w:rsidP="001D3C29">
      <w:pPr>
        <w:widowControl/>
        <w:suppressAutoHyphens w:val="0"/>
        <w:jc w:val="both"/>
        <w:rPr>
          <w:rFonts w:ascii="Arial" w:eastAsia="Times New Roman" w:hAnsi="Arial"/>
          <w:kern w:val="0"/>
          <w:lang w:val="es-ES" w:eastAsia="es-ES"/>
        </w:rPr>
      </w:pPr>
    </w:p>
    <w:p w:rsidR="001D3C29" w:rsidRPr="001D3C29" w:rsidRDefault="001D3C29" w:rsidP="001D3C29">
      <w:pPr>
        <w:widowControl/>
        <w:suppressAutoHyphens w:val="0"/>
        <w:jc w:val="both"/>
        <w:rPr>
          <w:rFonts w:ascii="Arial" w:eastAsia="Times New Roman" w:hAnsi="Arial"/>
          <w:kern w:val="0"/>
          <w:lang w:val="es-ES" w:eastAsia="es-ES"/>
        </w:rPr>
      </w:pPr>
      <w:r w:rsidRPr="001D3C29">
        <w:rPr>
          <w:rFonts w:ascii="Arial" w:eastAsia="Times New Roman" w:hAnsi="Arial"/>
          <w:b/>
          <w:kern w:val="0"/>
          <w:lang w:val="es-ES" w:eastAsia="es-ES"/>
        </w:rPr>
        <w:t>Artículo 6º</w:t>
      </w:r>
      <w:r w:rsidRPr="001D3C29">
        <w:rPr>
          <w:rFonts w:ascii="Arial" w:eastAsia="Times New Roman" w:hAnsi="Arial"/>
          <w:kern w:val="0"/>
          <w:lang w:val="es-ES" w:eastAsia="es-ES"/>
        </w:rPr>
        <w:t xml:space="preserve">. </w:t>
      </w:r>
      <w:r w:rsidRPr="001D3C29">
        <w:rPr>
          <w:rFonts w:ascii="Arial" w:eastAsia="Times New Roman" w:hAnsi="Arial"/>
          <w:b/>
          <w:kern w:val="0"/>
          <w:lang w:val="es-ES" w:eastAsia="es-ES"/>
        </w:rPr>
        <w:t>Sanciones</w:t>
      </w:r>
      <w:r w:rsidRPr="001D3C29">
        <w:rPr>
          <w:rFonts w:ascii="Arial" w:eastAsia="Times New Roman" w:hAnsi="Arial"/>
          <w:kern w:val="0"/>
          <w:lang w:val="es-ES" w:eastAsia="es-ES"/>
        </w:rPr>
        <w:t>. Cualquier infracción a la presente ley, a sus reglamentaciones y a las disposiciones que de ella se deriven, será</w:t>
      </w:r>
      <w:r w:rsidR="002167F6">
        <w:rPr>
          <w:rFonts w:ascii="Arial" w:eastAsia="Times New Roman" w:hAnsi="Arial"/>
          <w:kern w:val="0"/>
          <w:lang w:val="es-ES" w:eastAsia="es-ES"/>
        </w:rPr>
        <w:t>n</w:t>
      </w:r>
      <w:r w:rsidRPr="001D3C29">
        <w:rPr>
          <w:rFonts w:ascii="Arial" w:eastAsia="Times New Roman" w:hAnsi="Arial"/>
          <w:kern w:val="0"/>
          <w:lang w:val="es-ES" w:eastAsia="es-ES"/>
        </w:rPr>
        <w:t xml:space="preserve"> sancionada de acuerdo con lo que establezcan las disposiciones nacionales correspondientes, debiendo los organismos actuantes, comunicarse y coordinar las acciones, sin perjuicio de sus competencias específicas. En caso que se presuma que las acciones u omisiones puedan configurar una conducta delictiva, se denunciará además ante el órgano competente. Las autoridades controlarán el debido cumplimiento de las especificaciones de la presente ley.</w:t>
      </w:r>
    </w:p>
    <w:p w:rsidR="001D3C29" w:rsidRPr="001D3C29" w:rsidRDefault="001D3C29" w:rsidP="001D3C29">
      <w:pPr>
        <w:widowControl/>
        <w:suppressAutoHyphens w:val="0"/>
        <w:jc w:val="both"/>
        <w:rPr>
          <w:rFonts w:ascii="Arial" w:eastAsia="Times New Roman" w:hAnsi="Arial"/>
          <w:kern w:val="0"/>
          <w:lang w:val="es-ES" w:eastAsia="es-ES"/>
        </w:rPr>
      </w:pPr>
    </w:p>
    <w:p w:rsidR="001D3C29" w:rsidRPr="001D3C29" w:rsidRDefault="001D3C29" w:rsidP="001D3C29">
      <w:pPr>
        <w:widowControl/>
        <w:suppressAutoHyphens w:val="0"/>
        <w:jc w:val="both"/>
        <w:rPr>
          <w:rFonts w:ascii="Arial" w:eastAsia="Times New Roman" w:hAnsi="Arial"/>
          <w:kern w:val="0"/>
          <w:lang w:val="es-ES" w:eastAsia="es-ES"/>
        </w:rPr>
      </w:pPr>
      <w:r w:rsidRPr="001D3C29">
        <w:rPr>
          <w:rFonts w:ascii="Arial" w:eastAsia="Times New Roman" w:hAnsi="Arial"/>
          <w:b/>
          <w:kern w:val="0"/>
          <w:lang w:val="es-ES" w:eastAsia="es-ES"/>
        </w:rPr>
        <w:t>Parágrafo 1</w:t>
      </w:r>
      <w:r w:rsidR="002167F6">
        <w:rPr>
          <w:rFonts w:ascii="Arial" w:eastAsia="Times New Roman" w:hAnsi="Arial"/>
          <w:kern w:val="0"/>
          <w:lang w:val="es-ES" w:eastAsia="es-ES"/>
        </w:rPr>
        <w:t>: El E</w:t>
      </w:r>
      <w:r w:rsidRPr="001D3C29">
        <w:rPr>
          <w:rFonts w:ascii="Arial" w:eastAsia="Times New Roman" w:hAnsi="Arial"/>
          <w:kern w:val="0"/>
          <w:lang w:val="es-ES" w:eastAsia="es-ES"/>
        </w:rPr>
        <w:t>stado deberá informar a la comunidad en general sobre los entes reguladores y encargados de hacer cumplir la presente ley inmediatamente después de su promulgación.</w:t>
      </w:r>
    </w:p>
    <w:p w:rsidR="001D3C29" w:rsidRPr="001D3C29" w:rsidRDefault="001D3C29" w:rsidP="001D3C29">
      <w:pPr>
        <w:widowControl/>
        <w:suppressAutoHyphens w:val="0"/>
        <w:jc w:val="both"/>
        <w:rPr>
          <w:rFonts w:ascii="Arial" w:eastAsia="Times New Roman" w:hAnsi="Arial"/>
          <w:kern w:val="0"/>
          <w:lang w:val="es-ES" w:eastAsia="es-ES"/>
        </w:rPr>
      </w:pPr>
    </w:p>
    <w:p w:rsidR="001D3C29" w:rsidRPr="001D3C29" w:rsidRDefault="001D3C29" w:rsidP="001D3C29">
      <w:pPr>
        <w:widowControl/>
        <w:suppressAutoHyphens w:val="0"/>
        <w:jc w:val="both"/>
        <w:rPr>
          <w:rFonts w:ascii="Arial" w:eastAsia="Times New Roman" w:hAnsi="Arial"/>
          <w:kern w:val="0"/>
          <w:lang w:val="es-ES" w:eastAsia="es-ES"/>
        </w:rPr>
      </w:pPr>
      <w:r w:rsidRPr="001D3C29">
        <w:rPr>
          <w:rFonts w:ascii="Arial" w:eastAsia="Times New Roman" w:hAnsi="Arial"/>
          <w:b/>
          <w:kern w:val="0"/>
          <w:lang w:val="es-ES" w:eastAsia="es-ES"/>
        </w:rPr>
        <w:t>Artículo 7º</w:t>
      </w:r>
      <w:r w:rsidR="002167F6">
        <w:rPr>
          <w:rFonts w:ascii="Arial" w:eastAsia="Times New Roman" w:hAnsi="Arial"/>
          <w:kern w:val="0"/>
          <w:lang w:val="es-ES" w:eastAsia="es-ES"/>
        </w:rPr>
        <w:t>. El Ministerio de Ambiente y Desarrollo S</w:t>
      </w:r>
      <w:r w:rsidRPr="001D3C29">
        <w:rPr>
          <w:rFonts w:ascii="Arial" w:eastAsia="Times New Roman" w:hAnsi="Arial"/>
          <w:kern w:val="0"/>
          <w:lang w:val="es-ES" w:eastAsia="es-ES"/>
        </w:rPr>
        <w:t>ostenible, e</w:t>
      </w:r>
      <w:r w:rsidR="002167F6">
        <w:rPr>
          <w:rFonts w:ascii="Arial" w:eastAsia="Times New Roman" w:hAnsi="Arial"/>
          <w:kern w:val="0"/>
          <w:lang w:val="es-ES" w:eastAsia="es-ES"/>
        </w:rPr>
        <w:t>l Ministerio de Educación y el M</w:t>
      </w:r>
      <w:r w:rsidRPr="001D3C29">
        <w:rPr>
          <w:rFonts w:ascii="Arial" w:eastAsia="Times New Roman" w:hAnsi="Arial"/>
          <w:kern w:val="0"/>
          <w:lang w:val="es-ES" w:eastAsia="es-ES"/>
        </w:rPr>
        <w:t>inister</w:t>
      </w:r>
      <w:r w:rsidR="002167F6">
        <w:rPr>
          <w:rFonts w:ascii="Arial" w:eastAsia="Times New Roman" w:hAnsi="Arial"/>
          <w:kern w:val="0"/>
          <w:lang w:val="es-ES" w:eastAsia="es-ES"/>
        </w:rPr>
        <w:t>io de Salud y Protección Social en coordinación con los g</w:t>
      </w:r>
      <w:r w:rsidRPr="001D3C29">
        <w:rPr>
          <w:rFonts w:ascii="Arial" w:eastAsia="Times New Roman" w:hAnsi="Arial"/>
          <w:kern w:val="0"/>
          <w:lang w:val="es-ES" w:eastAsia="es-ES"/>
        </w:rPr>
        <w:t>obiernos departamentales, distritales y municipales y los organismos de enseñanza, realizarán campañas de información y prevención relativas a los contenidos de esta ley.</w:t>
      </w:r>
    </w:p>
    <w:p w:rsidR="001D3C29" w:rsidRPr="001D3C29" w:rsidRDefault="001D3C29" w:rsidP="001D3C29">
      <w:pPr>
        <w:widowControl/>
        <w:suppressAutoHyphens w:val="0"/>
        <w:jc w:val="both"/>
        <w:rPr>
          <w:rFonts w:ascii="Arial" w:eastAsia="Times New Roman" w:hAnsi="Arial"/>
          <w:kern w:val="0"/>
          <w:lang w:val="es-ES" w:eastAsia="es-ES"/>
        </w:rPr>
      </w:pPr>
    </w:p>
    <w:p w:rsidR="009009A1" w:rsidRDefault="001D3C29" w:rsidP="003136F8">
      <w:pPr>
        <w:pStyle w:val="Prrafodelista"/>
        <w:autoSpaceDE w:val="0"/>
        <w:autoSpaceDN w:val="0"/>
        <w:adjustRightInd w:val="0"/>
        <w:spacing w:after="0" w:line="240" w:lineRule="auto"/>
        <w:ind w:left="0"/>
        <w:jc w:val="both"/>
        <w:rPr>
          <w:rFonts w:ascii="Arial" w:eastAsia="Times New Roman" w:hAnsi="Arial"/>
          <w:lang w:eastAsia="es-ES"/>
        </w:rPr>
      </w:pPr>
      <w:r w:rsidRPr="001D3C29">
        <w:rPr>
          <w:rFonts w:ascii="Arial" w:eastAsia="Times New Roman" w:hAnsi="Arial"/>
          <w:b/>
          <w:lang w:eastAsia="es-ES"/>
        </w:rPr>
        <w:t xml:space="preserve">Artículo 8º. </w:t>
      </w:r>
      <w:r w:rsidRPr="001D3C29">
        <w:rPr>
          <w:rFonts w:ascii="Arial" w:eastAsia="Times New Roman" w:hAnsi="Arial"/>
          <w:lang w:eastAsia="es-ES"/>
        </w:rPr>
        <w:t>Con el objeto de dar cumplimiento a la finalidad de la presente Ley, Colciencias fomentará la realización de investigaciones de tecnologías limpias para la reducción y eliminación del plomo, el desarrollo y aplicación de las mismas.</w:t>
      </w:r>
      <w:r w:rsidR="003136F8">
        <w:rPr>
          <w:rFonts w:ascii="Arial" w:eastAsia="Times New Roman" w:hAnsi="Arial"/>
          <w:lang w:eastAsia="es-ES"/>
        </w:rPr>
        <w:t xml:space="preserve"> </w:t>
      </w:r>
    </w:p>
    <w:p w:rsidR="006D7D7B" w:rsidRPr="006D7D7B" w:rsidRDefault="006D7D7B" w:rsidP="006D7D7B">
      <w:pPr>
        <w:pStyle w:val="Prrafodelista"/>
        <w:autoSpaceDE w:val="0"/>
        <w:autoSpaceDN w:val="0"/>
        <w:adjustRightInd w:val="0"/>
        <w:spacing w:after="0" w:line="240" w:lineRule="auto"/>
        <w:ind w:left="0"/>
        <w:jc w:val="both"/>
        <w:rPr>
          <w:rFonts w:ascii="Arial" w:eastAsia="Times New Roman" w:hAnsi="Arial" w:cs="Arial"/>
          <w:lang w:eastAsia="es-ES"/>
        </w:rPr>
      </w:pPr>
      <w:r>
        <w:rPr>
          <w:rFonts w:ascii="Arial" w:eastAsia="Times New Roman" w:hAnsi="Arial"/>
          <w:lang w:eastAsia="es-ES"/>
        </w:rPr>
        <w:t>El Ministerio de Ambiente y Desarrollo S</w:t>
      </w:r>
      <w:r w:rsidRPr="001D3C29">
        <w:rPr>
          <w:rFonts w:ascii="Arial" w:eastAsia="Times New Roman" w:hAnsi="Arial"/>
          <w:lang w:eastAsia="es-ES"/>
        </w:rPr>
        <w:t>ostenible</w:t>
      </w:r>
      <w:r>
        <w:rPr>
          <w:rFonts w:ascii="Arial" w:eastAsia="Times New Roman" w:hAnsi="Arial"/>
          <w:lang w:eastAsia="es-ES"/>
        </w:rPr>
        <w:t xml:space="preserve">, </w:t>
      </w:r>
      <w:r w:rsidRPr="006D7D7B">
        <w:rPr>
          <w:rFonts w:ascii="Arial" w:eastAsia="Times New Roman" w:hAnsi="Arial"/>
          <w:lang w:eastAsia="es-ES"/>
        </w:rPr>
        <w:t>implementar</w:t>
      </w:r>
      <w:r>
        <w:rPr>
          <w:rFonts w:ascii="Arial" w:eastAsia="Times New Roman" w:hAnsi="Arial"/>
          <w:lang w:eastAsia="es-ES"/>
        </w:rPr>
        <w:t>á</w:t>
      </w:r>
      <w:r w:rsidRPr="006D7D7B">
        <w:rPr>
          <w:rFonts w:ascii="Arial" w:eastAsia="Times New Roman" w:hAnsi="Arial"/>
          <w:lang w:eastAsia="es-ES"/>
        </w:rPr>
        <w:t xml:space="preserve"> </w:t>
      </w:r>
      <w:r>
        <w:rPr>
          <w:rFonts w:ascii="Arial" w:eastAsia="Times New Roman" w:hAnsi="Arial"/>
          <w:lang w:eastAsia="es-ES"/>
        </w:rPr>
        <w:t>los</w:t>
      </w:r>
      <w:r w:rsidRPr="006D7D7B">
        <w:rPr>
          <w:rFonts w:ascii="Arial" w:eastAsia="Times New Roman" w:hAnsi="Arial"/>
          <w:lang w:eastAsia="es-ES"/>
        </w:rPr>
        <w:t xml:space="preserve"> estudio</w:t>
      </w:r>
      <w:r>
        <w:rPr>
          <w:rFonts w:ascii="Arial" w:eastAsia="Times New Roman" w:hAnsi="Arial"/>
          <w:lang w:eastAsia="es-ES"/>
        </w:rPr>
        <w:t xml:space="preserve">s e </w:t>
      </w:r>
      <w:r w:rsidRPr="006D7D7B">
        <w:rPr>
          <w:rFonts w:ascii="Arial" w:eastAsia="Times New Roman" w:hAnsi="Arial" w:cs="Arial"/>
          <w:lang w:eastAsia="es-ES"/>
        </w:rPr>
        <w:t xml:space="preserve">investigaciones sobre la exposición al plomo, en diferentes sectores de la ciudadanía, </w:t>
      </w:r>
      <w:r>
        <w:rPr>
          <w:rFonts w:ascii="Arial" w:eastAsia="Times New Roman" w:hAnsi="Arial" w:cs="Arial"/>
          <w:lang w:eastAsia="es-ES"/>
        </w:rPr>
        <w:t>que permita establecer</w:t>
      </w:r>
      <w:r w:rsidRPr="006D7D7B">
        <w:rPr>
          <w:rFonts w:ascii="Arial" w:eastAsia="Times New Roman" w:hAnsi="Arial" w:cs="Arial"/>
          <w:lang w:eastAsia="es-ES"/>
        </w:rPr>
        <w:t>:</w:t>
      </w:r>
    </w:p>
    <w:p w:rsidR="006D7D7B" w:rsidRPr="006D7D7B" w:rsidRDefault="006D7D7B" w:rsidP="006D7D7B">
      <w:pPr>
        <w:pStyle w:val="Prrafodelista"/>
        <w:numPr>
          <w:ilvl w:val="0"/>
          <w:numId w:val="48"/>
        </w:numPr>
        <w:autoSpaceDE w:val="0"/>
        <w:autoSpaceDN w:val="0"/>
        <w:adjustRightInd w:val="0"/>
        <w:spacing w:after="0" w:line="240" w:lineRule="auto"/>
        <w:jc w:val="both"/>
        <w:rPr>
          <w:rFonts w:ascii="Arial" w:hAnsi="Arial" w:cs="Arial"/>
          <w:bCs/>
        </w:rPr>
      </w:pPr>
      <w:r>
        <w:rPr>
          <w:rFonts w:ascii="Arial" w:hAnsi="Arial" w:cs="Arial"/>
          <w:bCs/>
        </w:rPr>
        <w:t>E</w:t>
      </w:r>
      <w:r w:rsidRPr="006D7D7B">
        <w:rPr>
          <w:rFonts w:ascii="Arial" w:hAnsi="Arial" w:cs="Arial"/>
          <w:bCs/>
        </w:rPr>
        <w:t>l consumo de productos con contenido de plomo.</w:t>
      </w:r>
    </w:p>
    <w:p w:rsidR="006D7D7B" w:rsidRPr="006D7D7B" w:rsidRDefault="006D7D7B" w:rsidP="006D7D7B">
      <w:pPr>
        <w:pStyle w:val="Prrafodelista"/>
        <w:numPr>
          <w:ilvl w:val="0"/>
          <w:numId w:val="47"/>
        </w:numPr>
        <w:autoSpaceDE w:val="0"/>
        <w:autoSpaceDN w:val="0"/>
        <w:adjustRightInd w:val="0"/>
        <w:spacing w:after="0" w:line="240" w:lineRule="auto"/>
        <w:jc w:val="both"/>
        <w:rPr>
          <w:rFonts w:ascii="Arial" w:hAnsi="Arial" w:cs="Arial"/>
          <w:bCs/>
        </w:rPr>
      </w:pPr>
      <w:r w:rsidRPr="006D7D7B">
        <w:rPr>
          <w:rFonts w:ascii="Arial" w:hAnsi="Arial" w:cs="Arial"/>
          <w:bCs/>
        </w:rPr>
        <w:t>Valorar los rangos de edad, actividad a la que se dedica la población estudiada (laboral, estudiantil, responsable de casa, otros.).</w:t>
      </w:r>
    </w:p>
    <w:p w:rsidR="006D7D7B" w:rsidRPr="006D7D7B" w:rsidRDefault="006D7D7B" w:rsidP="006D7D7B">
      <w:pPr>
        <w:pStyle w:val="Prrafodelista"/>
        <w:numPr>
          <w:ilvl w:val="0"/>
          <w:numId w:val="47"/>
        </w:numPr>
        <w:autoSpaceDE w:val="0"/>
        <w:autoSpaceDN w:val="0"/>
        <w:adjustRightInd w:val="0"/>
        <w:spacing w:after="0" w:line="240" w:lineRule="auto"/>
        <w:jc w:val="both"/>
        <w:rPr>
          <w:rFonts w:ascii="Arial" w:hAnsi="Arial" w:cs="Arial"/>
          <w:bCs/>
        </w:rPr>
      </w:pPr>
      <w:r w:rsidRPr="006D7D7B">
        <w:rPr>
          <w:rFonts w:ascii="Arial" w:hAnsi="Arial" w:cs="Arial"/>
          <w:bCs/>
        </w:rPr>
        <w:t>Apoyados en los estudios existentes determinar productos que puedan contener plomo (productos industriales, fertilizantes, pesticidas, pinturas, barnices, cosméticos, joyería, juguetes infantiles, etc.) y con ello comprobar el uso y aplicación que se da de ellos.</w:t>
      </w:r>
    </w:p>
    <w:p w:rsidR="006D7D7B" w:rsidRDefault="006D7D7B" w:rsidP="006D7D7B">
      <w:pPr>
        <w:pStyle w:val="Prrafodelista"/>
        <w:autoSpaceDE w:val="0"/>
        <w:autoSpaceDN w:val="0"/>
        <w:adjustRightInd w:val="0"/>
        <w:spacing w:after="0" w:line="240" w:lineRule="auto"/>
        <w:ind w:left="0"/>
        <w:jc w:val="both"/>
        <w:rPr>
          <w:rFonts w:ascii="Arial" w:hAnsi="Arial" w:cs="Arial"/>
          <w:bCs/>
        </w:rPr>
      </w:pPr>
      <w:r w:rsidRPr="006D7D7B">
        <w:rPr>
          <w:rFonts w:ascii="Arial" w:hAnsi="Arial" w:cs="Arial"/>
          <w:bCs/>
        </w:rPr>
        <w:t xml:space="preserve">Con el fin de poder desarrollar estrategias específicas por sectores productivos, áreas geográficas, teniendo en cuenta la dinámica económica, edades, riesgos expuestos entre otros. </w:t>
      </w:r>
    </w:p>
    <w:p w:rsidR="000E6557" w:rsidRPr="000E6557" w:rsidRDefault="000E6557" w:rsidP="000E6557">
      <w:pPr>
        <w:pStyle w:val="Prrafodelista"/>
        <w:autoSpaceDE w:val="0"/>
        <w:autoSpaceDN w:val="0"/>
        <w:adjustRightInd w:val="0"/>
        <w:spacing w:after="0" w:line="240" w:lineRule="auto"/>
        <w:ind w:left="0"/>
        <w:jc w:val="both"/>
        <w:rPr>
          <w:rFonts w:ascii="Arial" w:hAnsi="Arial" w:cs="Arial"/>
          <w:bCs/>
        </w:rPr>
      </w:pPr>
      <w:r w:rsidRPr="000E6557">
        <w:rPr>
          <w:rFonts w:ascii="Arial" w:hAnsi="Arial" w:cs="Arial"/>
          <w:bCs/>
        </w:rPr>
        <w:t xml:space="preserve">A partir del estudio nacional, cada autoridad ambiental competente establecerá los parámetros locales y regionales teniendo en cuenta condiciones ambientales específicas. </w:t>
      </w:r>
    </w:p>
    <w:p w:rsidR="000E6557" w:rsidRPr="000E6557" w:rsidRDefault="000E6557" w:rsidP="006D7D7B">
      <w:pPr>
        <w:pStyle w:val="Prrafodelista"/>
        <w:autoSpaceDE w:val="0"/>
        <w:autoSpaceDN w:val="0"/>
        <w:adjustRightInd w:val="0"/>
        <w:spacing w:after="0" w:line="240" w:lineRule="auto"/>
        <w:ind w:left="0"/>
        <w:jc w:val="both"/>
        <w:rPr>
          <w:rFonts w:ascii="Arial" w:hAnsi="Arial" w:cs="Arial"/>
          <w:bCs/>
          <w:lang w:val="es-ES_tradnl"/>
        </w:rPr>
      </w:pPr>
    </w:p>
    <w:p w:rsidR="006D7D7B" w:rsidRDefault="006D7D7B" w:rsidP="001D3C29">
      <w:pPr>
        <w:widowControl/>
        <w:suppressAutoHyphens w:val="0"/>
        <w:jc w:val="both"/>
        <w:rPr>
          <w:rFonts w:ascii="Arial" w:eastAsia="Times New Roman" w:hAnsi="Arial"/>
          <w:b/>
          <w:kern w:val="0"/>
          <w:lang w:val="es-ES" w:eastAsia="es-ES"/>
        </w:rPr>
      </w:pPr>
      <w:r w:rsidRPr="001D3C29">
        <w:rPr>
          <w:rFonts w:ascii="Arial" w:eastAsia="Times New Roman" w:hAnsi="Arial"/>
          <w:b/>
          <w:kern w:val="0"/>
          <w:lang w:val="es-ES" w:eastAsia="es-ES"/>
        </w:rPr>
        <w:t xml:space="preserve"> </w:t>
      </w:r>
    </w:p>
    <w:p w:rsidR="001D3C29" w:rsidRPr="001D3C29" w:rsidRDefault="001D3C29" w:rsidP="001D3C29">
      <w:pPr>
        <w:widowControl/>
        <w:suppressAutoHyphens w:val="0"/>
        <w:jc w:val="both"/>
        <w:rPr>
          <w:rFonts w:ascii="Arial" w:eastAsia="Times New Roman" w:hAnsi="Arial"/>
          <w:kern w:val="0"/>
          <w:lang w:val="es-ES" w:eastAsia="es-ES"/>
        </w:rPr>
      </w:pPr>
      <w:r w:rsidRPr="001D3C29">
        <w:rPr>
          <w:rFonts w:ascii="Arial" w:eastAsia="Times New Roman" w:hAnsi="Arial"/>
          <w:b/>
          <w:kern w:val="0"/>
          <w:lang w:val="es-ES" w:eastAsia="es-ES"/>
        </w:rPr>
        <w:t xml:space="preserve">Artículo 9º. </w:t>
      </w:r>
      <w:r w:rsidR="002167F6">
        <w:rPr>
          <w:rFonts w:ascii="Arial" w:eastAsia="Times New Roman" w:hAnsi="Arial"/>
          <w:kern w:val="0"/>
          <w:lang w:val="es-ES" w:eastAsia="es-ES"/>
        </w:rPr>
        <w:t>El Ministerio de A</w:t>
      </w:r>
      <w:r w:rsidRPr="001D3C29">
        <w:rPr>
          <w:rFonts w:ascii="Arial" w:eastAsia="Times New Roman" w:hAnsi="Arial"/>
          <w:kern w:val="0"/>
          <w:lang w:val="es-ES" w:eastAsia="es-ES"/>
        </w:rPr>
        <w:t>mbien</w:t>
      </w:r>
      <w:r w:rsidR="002167F6">
        <w:rPr>
          <w:rFonts w:ascii="Arial" w:eastAsia="Times New Roman" w:hAnsi="Arial"/>
          <w:kern w:val="0"/>
          <w:lang w:val="es-ES" w:eastAsia="es-ES"/>
        </w:rPr>
        <w:t>te y Desarrollo S</w:t>
      </w:r>
      <w:r w:rsidRPr="001D3C29">
        <w:rPr>
          <w:rFonts w:ascii="Arial" w:eastAsia="Times New Roman" w:hAnsi="Arial"/>
          <w:kern w:val="0"/>
          <w:lang w:val="es-ES" w:eastAsia="es-ES"/>
        </w:rPr>
        <w:t>ostenible en coordinación con los demás ministeri</w:t>
      </w:r>
      <w:r w:rsidR="002167F6">
        <w:rPr>
          <w:rFonts w:ascii="Arial" w:eastAsia="Times New Roman" w:hAnsi="Arial"/>
          <w:kern w:val="0"/>
          <w:lang w:val="es-ES" w:eastAsia="es-ES"/>
        </w:rPr>
        <w:t>os competentes en especial los M</w:t>
      </w:r>
      <w:r w:rsidRPr="001D3C29">
        <w:rPr>
          <w:rFonts w:ascii="Arial" w:eastAsia="Times New Roman" w:hAnsi="Arial"/>
          <w:kern w:val="0"/>
          <w:lang w:val="es-ES" w:eastAsia="es-ES"/>
        </w:rPr>
        <w:t xml:space="preserve">inisterios de Salud y </w:t>
      </w:r>
      <w:r w:rsidRPr="001D3C29">
        <w:rPr>
          <w:rFonts w:ascii="Arial" w:eastAsia="Times New Roman" w:hAnsi="Arial"/>
          <w:kern w:val="0"/>
          <w:lang w:val="es-ES" w:eastAsia="es-ES"/>
        </w:rPr>
        <w:lastRenderedPageBreak/>
        <w:t>Protección Social, Trabajo,</w:t>
      </w:r>
      <w:r w:rsidR="00515B57">
        <w:rPr>
          <w:rFonts w:ascii="Arial" w:eastAsia="Times New Roman" w:hAnsi="Arial"/>
          <w:kern w:val="0"/>
          <w:lang w:val="es-ES" w:eastAsia="es-ES"/>
        </w:rPr>
        <w:t xml:space="preserve"> Agricultura y Desarrollo Rural</w:t>
      </w:r>
      <w:r w:rsidRPr="001D3C29">
        <w:rPr>
          <w:rFonts w:ascii="Arial" w:eastAsia="Times New Roman" w:hAnsi="Arial"/>
          <w:kern w:val="0"/>
          <w:lang w:val="es-ES" w:eastAsia="es-ES"/>
        </w:rPr>
        <w:t xml:space="preserve">, Transporte y Comercio, Industria y Turismo, sectorialmente y en el marco de sus </w:t>
      </w:r>
      <w:r w:rsidR="002167F6">
        <w:rPr>
          <w:rFonts w:ascii="Arial" w:eastAsia="Times New Roman" w:hAnsi="Arial"/>
          <w:kern w:val="0"/>
          <w:lang w:val="es-ES" w:eastAsia="es-ES"/>
        </w:rPr>
        <w:t>competencias, deberán elaborar</w:t>
      </w:r>
      <w:r w:rsidRPr="001D3C29">
        <w:rPr>
          <w:rFonts w:ascii="Arial" w:eastAsia="Times New Roman" w:hAnsi="Arial"/>
          <w:kern w:val="0"/>
          <w:lang w:val="es-ES" w:eastAsia="es-ES"/>
        </w:rPr>
        <w:t xml:space="preserve"> los reglamentos técnicos en el término máximo de un (1) año, contados a partir de la entrada en vigencia de la presente Ley, para el desarrollo de las actividades relacionadas con cada una de las etapas del ciclo de uso, importación, producción, comercialización, manejo, almacena</w:t>
      </w:r>
      <w:r w:rsidR="002167F6">
        <w:rPr>
          <w:rFonts w:ascii="Arial" w:eastAsia="Times New Roman" w:hAnsi="Arial"/>
          <w:kern w:val="0"/>
          <w:lang w:val="es-ES" w:eastAsia="es-ES"/>
        </w:rPr>
        <w:t>miento o disposición final del p</w:t>
      </w:r>
      <w:r w:rsidRPr="001D3C29">
        <w:rPr>
          <w:rFonts w:ascii="Arial" w:eastAsia="Times New Roman" w:hAnsi="Arial"/>
          <w:kern w:val="0"/>
          <w:lang w:val="es-ES" w:eastAsia="es-ES"/>
        </w:rPr>
        <w:t>lomo.</w:t>
      </w:r>
    </w:p>
    <w:p w:rsidR="001D3C29" w:rsidRPr="001D3C29" w:rsidRDefault="001D3C29" w:rsidP="001D3C29">
      <w:pPr>
        <w:widowControl/>
        <w:tabs>
          <w:tab w:val="left" w:pos="5190"/>
        </w:tabs>
        <w:suppressAutoHyphens w:val="0"/>
        <w:jc w:val="both"/>
        <w:rPr>
          <w:rFonts w:ascii="Arial" w:eastAsia="Times New Roman" w:hAnsi="Arial"/>
          <w:kern w:val="0"/>
          <w:lang w:val="es-ES" w:eastAsia="es-ES"/>
        </w:rPr>
      </w:pPr>
    </w:p>
    <w:p w:rsidR="001D3C29" w:rsidRPr="001D3C29" w:rsidRDefault="001D3C29" w:rsidP="001D3C29">
      <w:pPr>
        <w:widowControl/>
        <w:suppressAutoHyphens w:val="0"/>
        <w:jc w:val="center"/>
        <w:rPr>
          <w:rFonts w:ascii="Arial" w:eastAsia="Times New Roman" w:hAnsi="Arial"/>
          <w:b/>
          <w:kern w:val="0"/>
          <w:lang w:val="es-ES" w:eastAsia="es-ES"/>
        </w:rPr>
      </w:pPr>
      <w:r w:rsidRPr="001D3C29">
        <w:rPr>
          <w:rFonts w:ascii="Arial" w:eastAsia="Times New Roman" w:hAnsi="Arial"/>
          <w:b/>
          <w:kern w:val="0"/>
          <w:lang w:val="es-ES" w:eastAsia="es-ES"/>
        </w:rPr>
        <w:t>CAPITULO II</w:t>
      </w:r>
    </w:p>
    <w:p w:rsidR="001D3C29" w:rsidRPr="001D3C29" w:rsidRDefault="001D3C29" w:rsidP="001D3C29">
      <w:pPr>
        <w:widowControl/>
        <w:suppressAutoHyphens w:val="0"/>
        <w:jc w:val="center"/>
        <w:rPr>
          <w:rFonts w:ascii="Arial" w:eastAsia="Times New Roman" w:hAnsi="Arial"/>
          <w:b/>
          <w:kern w:val="0"/>
          <w:lang w:val="es-ES" w:eastAsia="es-ES"/>
        </w:rPr>
      </w:pPr>
    </w:p>
    <w:p w:rsidR="001D3C29" w:rsidRPr="001D3C29" w:rsidRDefault="001D3C29" w:rsidP="001D3C29">
      <w:pPr>
        <w:widowControl/>
        <w:suppressAutoHyphens w:val="0"/>
        <w:jc w:val="center"/>
        <w:rPr>
          <w:rFonts w:ascii="Arial" w:eastAsia="Times New Roman" w:hAnsi="Arial"/>
          <w:b/>
          <w:kern w:val="0"/>
          <w:lang w:val="es-ES" w:eastAsia="es-ES"/>
        </w:rPr>
      </w:pPr>
      <w:r w:rsidRPr="001D3C29">
        <w:rPr>
          <w:rFonts w:ascii="Arial" w:eastAsia="Times New Roman" w:hAnsi="Arial"/>
          <w:b/>
          <w:kern w:val="0"/>
          <w:lang w:val="es-ES" w:eastAsia="es-ES"/>
        </w:rPr>
        <w:t>DE LOS NIÑOS y NIÑAS</w:t>
      </w:r>
    </w:p>
    <w:p w:rsidR="001D3C29" w:rsidRPr="001D3C29" w:rsidRDefault="001D3C29" w:rsidP="001D3C29">
      <w:pPr>
        <w:widowControl/>
        <w:suppressAutoHyphens w:val="0"/>
        <w:rPr>
          <w:rFonts w:ascii="Arial" w:eastAsia="Times New Roman" w:hAnsi="Arial"/>
          <w:b/>
          <w:kern w:val="0"/>
          <w:lang w:val="es-ES" w:eastAsia="es-ES"/>
        </w:rPr>
      </w:pPr>
    </w:p>
    <w:p w:rsidR="001D3C29" w:rsidRPr="00421A86" w:rsidRDefault="001D3C29" w:rsidP="001D3C29">
      <w:pPr>
        <w:widowControl/>
        <w:suppressAutoHyphens w:val="0"/>
        <w:jc w:val="both"/>
        <w:rPr>
          <w:rFonts w:ascii="Arial" w:eastAsia="Times New Roman" w:hAnsi="Arial" w:cs="Arial"/>
          <w:kern w:val="0"/>
          <w:lang w:val="es-ES" w:eastAsia="es-ES"/>
        </w:rPr>
      </w:pPr>
      <w:r w:rsidRPr="001D3C29">
        <w:rPr>
          <w:rFonts w:ascii="Arial" w:eastAsia="Times New Roman" w:hAnsi="Arial"/>
          <w:b/>
          <w:kern w:val="0"/>
          <w:lang w:val="es-ES" w:eastAsia="es-ES"/>
        </w:rPr>
        <w:t xml:space="preserve">Artículo 10º: </w:t>
      </w:r>
      <w:r w:rsidR="002167F6">
        <w:rPr>
          <w:rFonts w:ascii="Arial" w:eastAsia="Times New Roman" w:hAnsi="Arial" w:cs="Arial"/>
          <w:kern w:val="0"/>
          <w:lang w:val="es-ES" w:eastAsia="es-ES"/>
        </w:rPr>
        <w:t>El E</w:t>
      </w:r>
      <w:r w:rsidRPr="001D3C29">
        <w:rPr>
          <w:rFonts w:ascii="Arial" w:eastAsia="Times New Roman" w:hAnsi="Arial" w:cs="Arial"/>
          <w:kern w:val="0"/>
          <w:lang w:val="es-ES" w:eastAsia="es-ES"/>
        </w:rPr>
        <w:t>stado deberá velar para que todos los niños y niñas colombianos tengan una concentración de plomo por debajo de 5 μg (microgramos) por decilitro (dL) de sangre (µg/dL). Antes de entrar a la escuela, ningún niño y niña del país podrá tener más de 5 µg/dL. Para efectos de llevar a cabo la verificación de las condiciones de con</w:t>
      </w:r>
      <w:r w:rsidR="002167F6">
        <w:rPr>
          <w:rFonts w:ascii="Arial" w:eastAsia="Times New Roman" w:hAnsi="Arial" w:cs="Arial"/>
          <w:kern w:val="0"/>
          <w:lang w:val="es-ES" w:eastAsia="es-ES"/>
        </w:rPr>
        <w:t>centración antes señalada, las S</w:t>
      </w:r>
      <w:r w:rsidRPr="001D3C29">
        <w:rPr>
          <w:rFonts w:ascii="Arial" w:eastAsia="Times New Roman" w:hAnsi="Arial" w:cs="Arial"/>
          <w:kern w:val="0"/>
          <w:lang w:val="es-ES" w:eastAsia="es-ES"/>
        </w:rPr>
        <w:t xml:space="preserve">ecretarias de </w:t>
      </w:r>
      <w:r w:rsidR="002167F6">
        <w:rPr>
          <w:rFonts w:ascii="Arial" w:eastAsia="Times New Roman" w:hAnsi="Arial" w:cs="Arial"/>
          <w:kern w:val="0"/>
          <w:lang w:val="es-ES" w:eastAsia="es-ES"/>
        </w:rPr>
        <w:t>S</w:t>
      </w:r>
      <w:r w:rsidR="00844246" w:rsidRPr="001D3C29">
        <w:rPr>
          <w:rFonts w:ascii="Arial" w:eastAsia="Times New Roman" w:hAnsi="Arial" w:cs="Arial"/>
          <w:kern w:val="0"/>
          <w:lang w:val="es-ES" w:eastAsia="es-ES"/>
        </w:rPr>
        <w:t>alud departamental</w:t>
      </w:r>
      <w:r w:rsidR="00421A86">
        <w:rPr>
          <w:rFonts w:ascii="Arial" w:eastAsia="Times New Roman" w:hAnsi="Arial" w:cs="Arial"/>
          <w:kern w:val="0"/>
          <w:lang w:val="es-ES" w:eastAsia="es-ES"/>
        </w:rPr>
        <w:t>es</w:t>
      </w:r>
      <w:r w:rsidR="00844246" w:rsidRPr="001D3C29">
        <w:rPr>
          <w:rFonts w:ascii="Arial" w:eastAsia="Times New Roman" w:hAnsi="Arial" w:cs="Arial"/>
          <w:kern w:val="0"/>
          <w:lang w:val="es-ES" w:eastAsia="es-ES"/>
        </w:rPr>
        <w:t xml:space="preserve"> y municipal</w:t>
      </w:r>
      <w:r w:rsidR="00421A86">
        <w:rPr>
          <w:rFonts w:ascii="Arial" w:eastAsia="Times New Roman" w:hAnsi="Arial" w:cs="Arial"/>
          <w:kern w:val="0"/>
          <w:lang w:val="es-ES" w:eastAsia="es-ES"/>
        </w:rPr>
        <w:t>es</w:t>
      </w:r>
      <w:r w:rsidR="00844246">
        <w:rPr>
          <w:rFonts w:ascii="Arial" w:eastAsia="Times New Roman" w:hAnsi="Arial" w:cs="Arial"/>
          <w:kern w:val="0"/>
          <w:lang w:val="es-ES" w:eastAsia="es-ES"/>
        </w:rPr>
        <w:t xml:space="preserve"> o distrital</w:t>
      </w:r>
      <w:r w:rsidR="00421A86">
        <w:rPr>
          <w:rFonts w:ascii="Arial" w:eastAsia="Times New Roman" w:hAnsi="Arial" w:cs="Arial"/>
          <w:kern w:val="0"/>
          <w:lang w:val="es-ES" w:eastAsia="es-ES"/>
        </w:rPr>
        <w:t>es</w:t>
      </w:r>
      <w:r w:rsidR="002167F6">
        <w:rPr>
          <w:rFonts w:ascii="Arial" w:eastAsia="Times New Roman" w:hAnsi="Arial" w:cs="Arial"/>
          <w:kern w:val="0"/>
          <w:lang w:val="es-ES" w:eastAsia="es-ES"/>
        </w:rPr>
        <w:t xml:space="preserve"> y las Secretarias de E</w:t>
      </w:r>
      <w:r w:rsidRPr="001D3C29">
        <w:rPr>
          <w:rFonts w:ascii="Arial" w:eastAsia="Times New Roman" w:hAnsi="Arial" w:cs="Arial"/>
          <w:kern w:val="0"/>
          <w:lang w:val="es-ES" w:eastAsia="es-ES"/>
        </w:rPr>
        <w:t xml:space="preserve">ducación, adelantarán de manera conjunta </w:t>
      </w:r>
      <w:r w:rsidRPr="001D3C29">
        <w:rPr>
          <w:rFonts w:ascii="Arial" w:eastAsia="Times New Roman" w:hAnsi="Arial" w:cs="Arial"/>
          <w:kern w:val="0"/>
          <w:lang w:val="es-CO" w:eastAsia="es-ES"/>
        </w:rPr>
        <w:t xml:space="preserve">acciones para la evaluación de los niveles de plomo de la población educativa. </w:t>
      </w:r>
    </w:p>
    <w:p w:rsidR="001D3C29" w:rsidRPr="001D3C29" w:rsidRDefault="001D3C29" w:rsidP="001D3C29">
      <w:pPr>
        <w:widowControl/>
        <w:suppressAutoHyphens w:val="0"/>
        <w:jc w:val="both"/>
        <w:rPr>
          <w:rFonts w:ascii="Arial" w:eastAsia="Times New Roman" w:hAnsi="Arial"/>
          <w:kern w:val="0"/>
          <w:lang w:val="es-ES" w:eastAsia="es-ES"/>
        </w:rPr>
      </w:pPr>
    </w:p>
    <w:p w:rsidR="001D3C29" w:rsidRPr="001D3C29" w:rsidRDefault="001D3C29" w:rsidP="001D3C29">
      <w:pPr>
        <w:widowControl/>
        <w:suppressAutoHyphens w:val="0"/>
        <w:jc w:val="both"/>
        <w:rPr>
          <w:rFonts w:ascii="Arial" w:eastAsia="Times New Roman" w:hAnsi="Arial" w:cs="Arial"/>
          <w:kern w:val="0"/>
          <w:lang w:val="es-ES" w:eastAsia="es-ES"/>
        </w:rPr>
      </w:pPr>
      <w:r w:rsidRPr="001D3C29">
        <w:rPr>
          <w:rFonts w:ascii="Arial" w:eastAsia="Times New Roman" w:hAnsi="Arial"/>
          <w:b/>
          <w:kern w:val="0"/>
          <w:lang w:val="es-ES" w:eastAsia="es-ES"/>
        </w:rPr>
        <w:t>Artículo 11º</w:t>
      </w:r>
      <w:r w:rsidRPr="001D3C29">
        <w:rPr>
          <w:rFonts w:ascii="Arial" w:eastAsia="Times New Roman" w:hAnsi="Arial"/>
          <w:kern w:val="0"/>
          <w:lang w:val="es-ES" w:eastAsia="es-ES"/>
        </w:rPr>
        <w:t xml:space="preserve">: Si durante la evaluación del contenido de plomo en sangre los niños y niñas presentan valores iguales o superiores a </w:t>
      </w:r>
      <w:r w:rsidRPr="001D3C29">
        <w:rPr>
          <w:rFonts w:ascii="Arial" w:eastAsia="Times New Roman" w:hAnsi="Arial" w:cs="Arial"/>
          <w:kern w:val="0"/>
          <w:lang w:val="es-ES" w:eastAsia="es-ES"/>
        </w:rPr>
        <w:t>5 µg</w:t>
      </w:r>
      <w:r w:rsidR="002167F6">
        <w:rPr>
          <w:rFonts w:ascii="Arial" w:eastAsia="Times New Roman" w:hAnsi="Arial" w:cs="Arial"/>
          <w:kern w:val="0"/>
          <w:lang w:val="es-ES" w:eastAsia="es-ES"/>
        </w:rPr>
        <w:t>/dL, el Bienestar Familiar, la S</w:t>
      </w:r>
      <w:r w:rsidRPr="001D3C29">
        <w:rPr>
          <w:rFonts w:ascii="Arial" w:eastAsia="Times New Roman" w:hAnsi="Arial" w:cs="Arial"/>
          <w:kern w:val="0"/>
          <w:lang w:val="es-ES" w:eastAsia="es-ES"/>
        </w:rPr>
        <w:t>ecretaria de Salud Municipal, Distrital o Departamental y la autoridad ambiental del lugar, deberá</w:t>
      </w:r>
      <w:r w:rsidR="002167F6">
        <w:rPr>
          <w:rFonts w:ascii="Arial" w:eastAsia="Times New Roman" w:hAnsi="Arial" w:cs="Arial"/>
          <w:kern w:val="0"/>
          <w:lang w:val="es-ES" w:eastAsia="es-ES"/>
        </w:rPr>
        <w:t>n</w:t>
      </w:r>
      <w:r w:rsidRPr="001D3C29">
        <w:rPr>
          <w:rFonts w:ascii="Arial" w:eastAsia="Times New Roman" w:hAnsi="Arial" w:cs="Arial"/>
          <w:kern w:val="0"/>
          <w:lang w:val="es-ES" w:eastAsia="es-ES"/>
        </w:rPr>
        <w:t xml:space="preserve"> realizar las acciones tendientes a garantizar la disminución de dichos niveles a los permitidos, de acuerdo con lo promulgado en esta ley.</w:t>
      </w:r>
    </w:p>
    <w:p w:rsidR="001D3C29" w:rsidRPr="001D3C29" w:rsidRDefault="001D3C29" w:rsidP="001D3C29">
      <w:pPr>
        <w:widowControl/>
        <w:suppressAutoHyphens w:val="0"/>
        <w:jc w:val="both"/>
        <w:rPr>
          <w:rFonts w:ascii="Arial" w:eastAsia="Times New Roman" w:hAnsi="Arial" w:cs="Arial"/>
          <w:kern w:val="0"/>
          <w:lang w:val="es-ES" w:eastAsia="es-ES"/>
        </w:rPr>
      </w:pPr>
    </w:p>
    <w:p w:rsidR="001D3C29" w:rsidRPr="001D3C29" w:rsidRDefault="001D3C29" w:rsidP="001D3C29">
      <w:pPr>
        <w:widowControl/>
        <w:suppressAutoHyphens w:val="0"/>
        <w:jc w:val="both"/>
        <w:rPr>
          <w:rFonts w:ascii="Arial" w:eastAsia="Times New Roman" w:hAnsi="Arial"/>
          <w:kern w:val="0"/>
          <w:lang w:val="es-ES" w:eastAsia="es-ES"/>
        </w:rPr>
      </w:pPr>
    </w:p>
    <w:p w:rsidR="001D3C29" w:rsidRPr="001D3C29" w:rsidRDefault="001D3C29" w:rsidP="001D3C29">
      <w:pPr>
        <w:widowControl/>
        <w:suppressAutoHyphens w:val="0"/>
        <w:jc w:val="center"/>
        <w:rPr>
          <w:rFonts w:ascii="Arial" w:eastAsia="Times New Roman" w:hAnsi="Arial"/>
          <w:b/>
          <w:kern w:val="0"/>
          <w:lang w:val="es-ES" w:eastAsia="es-ES"/>
        </w:rPr>
      </w:pPr>
      <w:r w:rsidRPr="001D3C29">
        <w:rPr>
          <w:rFonts w:ascii="Arial" w:eastAsia="Times New Roman" w:hAnsi="Arial"/>
          <w:b/>
          <w:kern w:val="0"/>
          <w:lang w:val="es-ES" w:eastAsia="es-ES"/>
        </w:rPr>
        <w:t>CAPÍTULO III</w:t>
      </w:r>
    </w:p>
    <w:p w:rsidR="001D3C29" w:rsidRPr="001D3C29" w:rsidRDefault="001D3C29" w:rsidP="001D3C29">
      <w:pPr>
        <w:widowControl/>
        <w:suppressAutoHyphens w:val="0"/>
        <w:jc w:val="center"/>
        <w:rPr>
          <w:rFonts w:ascii="Arial" w:eastAsia="Times New Roman" w:hAnsi="Arial"/>
          <w:b/>
          <w:kern w:val="0"/>
          <w:lang w:val="es-ES" w:eastAsia="es-ES"/>
        </w:rPr>
      </w:pPr>
    </w:p>
    <w:p w:rsidR="001D3C29" w:rsidRPr="001D3C29" w:rsidRDefault="001D3C29" w:rsidP="001D3C29">
      <w:pPr>
        <w:widowControl/>
        <w:suppressAutoHyphens w:val="0"/>
        <w:jc w:val="center"/>
        <w:rPr>
          <w:rFonts w:ascii="Arial" w:eastAsia="Times New Roman" w:hAnsi="Arial"/>
          <w:b/>
          <w:kern w:val="0"/>
          <w:lang w:val="es-ES" w:eastAsia="es-ES"/>
        </w:rPr>
      </w:pPr>
      <w:r w:rsidRPr="001D3C29">
        <w:rPr>
          <w:rFonts w:ascii="Arial" w:eastAsia="Times New Roman" w:hAnsi="Arial"/>
          <w:b/>
          <w:kern w:val="0"/>
          <w:lang w:val="es-ES" w:eastAsia="es-ES"/>
        </w:rPr>
        <w:t>DE LAS PINTURAS</w:t>
      </w:r>
    </w:p>
    <w:p w:rsidR="001D3C29" w:rsidRPr="001D3C29" w:rsidRDefault="001D3C29" w:rsidP="001D3C29">
      <w:pPr>
        <w:widowControl/>
        <w:suppressAutoHyphens w:val="0"/>
        <w:jc w:val="both"/>
        <w:rPr>
          <w:rFonts w:ascii="Arial" w:eastAsia="Times New Roman" w:hAnsi="Arial"/>
          <w:b/>
          <w:kern w:val="0"/>
          <w:lang w:val="es-ES" w:eastAsia="es-ES"/>
        </w:rPr>
      </w:pPr>
    </w:p>
    <w:p w:rsidR="001D3C29" w:rsidRPr="001D3C29" w:rsidRDefault="001D3C29" w:rsidP="001D3C29">
      <w:pPr>
        <w:widowControl/>
        <w:suppressAutoHyphens w:val="0"/>
        <w:jc w:val="both"/>
        <w:rPr>
          <w:rFonts w:ascii="Arial" w:eastAsia="Times New Roman" w:hAnsi="Arial"/>
          <w:kern w:val="0"/>
          <w:lang w:val="es-ES" w:eastAsia="es-ES"/>
        </w:rPr>
      </w:pPr>
      <w:r w:rsidRPr="001D3C29">
        <w:rPr>
          <w:rFonts w:ascii="Arial" w:eastAsia="Times New Roman" w:hAnsi="Arial"/>
          <w:b/>
          <w:kern w:val="0"/>
          <w:lang w:val="es-ES" w:eastAsia="es-ES"/>
        </w:rPr>
        <w:t>Artículo 12º</w:t>
      </w:r>
      <w:r w:rsidRPr="001D3C29">
        <w:rPr>
          <w:rFonts w:ascii="Arial" w:eastAsia="Times New Roman" w:hAnsi="Arial"/>
          <w:kern w:val="0"/>
          <w:lang w:val="es-ES" w:eastAsia="es-ES"/>
        </w:rPr>
        <w:t>: Se prohíbe la fabricación e importación de pinturas arquitectónicas, también llamadas de uso decorativo o del hogar y obra, con contenido de plomo en cualquiera de sus compuestos que exceda 50 ppm, d</w:t>
      </w:r>
      <w:r w:rsidR="00470952" w:rsidRPr="001D3C29">
        <w:rPr>
          <w:rFonts w:ascii="Arial" w:eastAsia="Times New Roman" w:hAnsi="Arial"/>
          <w:kern w:val="0"/>
          <w:lang w:val="es-CO" w:eastAsia="es-ES"/>
        </w:rPr>
        <w:t>determinado</w:t>
      </w:r>
      <w:r w:rsidRPr="001D3C29">
        <w:rPr>
          <w:rFonts w:ascii="Arial" w:eastAsia="Times New Roman" w:hAnsi="Arial"/>
          <w:kern w:val="0"/>
          <w:lang w:val="es-CO" w:eastAsia="es-ES"/>
        </w:rPr>
        <w:t xml:space="preserve"> en base seca o contenido total no volátil. </w:t>
      </w:r>
    </w:p>
    <w:p w:rsidR="001D3C29" w:rsidRPr="001D3C29" w:rsidRDefault="001D3C29" w:rsidP="001D3C29">
      <w:pPr>
        <w:widowControl/>
        <w:suppressAutoHyphens w:val="0"/>
        <w:jc w:val="both"/>
        <w:rPr>
          <w:rFonts w:ascii="Arial" w:eastAsia="Times New Roman" w:hAnsi="Arial"/>
          <w:kern w:val="0"/>
          <w:lang w:val="es-ES" w:eastAsia="es-ES"/>
        </w:rPr>
      </w:pPr>
    </w:p>
    <w:p w:rsidR="001D3C29" w:rsidRPr="001D3C29" w:rsidRDefault="001D3C29" w:rsidP="001D3C29">
      <w:pPr>
        <w:widowControl/>
        <w:suppressAutoHyphens w:val="0"/>
        <w:jc w:val="both"/>
        <w:rPr>
          <w:rFonts w:ascii="Arial" w:eastAsia="Times New Roman" w:hAnsi="Arial"/>
          <w:kern w:val="0"/>
          <w:lang w:val="es-ES" w:eastAsia="es-ES"/>
        </w:rPr>
      </w:pPr>
      <w:r w:rsidRPr="001D3C29">
        <w:rPr>
          <w:rFonts w:ascii="Arial" w:eastAsia="Times New Roman" w:hAnsi="Arial"/>
          <w:b/>
          <w:kern w:val="0"/>
          <w:lang w:val="es-ES" w:eastAsia="es-ES"/>
        </w:rPr>
        <w:t>Artículo 13º</w:t>
      </w:r>
      <w:r w:rsidRPr="001D3C29">
        <w:rPr>
          <w:rFonts w:ascii="Arial" w:eastAsia="Times New Roman" w:hAnsi="Arial"/>
          <w:kern w:val="0"/>
          <w:lang w:val="es-ES" w:eastAsia="es-ES"/>
        </w:rPr>
        <w:t>: Los envases de los productos que contengan plomo, deberán presentarse con las instrucciones en idioma español y en ellas se señalará el contenido de plomo y las indicaciones relacionadas con el uso cautelar del producto.</w:t>
      </w:r>
    </w:p>
    <w:p w:rsidR="001D3C29" w:rsidRPr="001D3C29" w:rsidRDefault="001D3C29" w:rsidP="001D3C29">
      <w:pPr>
        <w:widowControl/>
        <w:suppressAutoHyphens w:val="0"/>
        <w:jc w:val="both"/>
        <w:rPr>
          <w:rFonts w:ascii="Arial" w:eastAsia="Times New Roman" w:hAnsi="Arial"/>
          <w:kern w:val="0"/>
          <w:lang w:val="es-ES" w:eastAsia="es-ES"/>
        </w:rPr>
      </w:pPr>
    </w:p>
    <w:p w:rsidR="001D3C29" w:rsidRDefault="001D3C29" w:rsidP="001D3C29">
      <w:pPr>
        <w:widowControl/>
        <w:suppressAutoHyphens w:val="0"/>
        <w:jc w:val="both"/>
        <w:rPr>
          <w:rFonts w:ascii="Arial" w:eastAsia="Times New Roman" w:hAnsi="Arial"/>
          <w:kern w:val="0"/>
          <w:lang w:val="es-ES" w:eastAsia="es-ES"/>
        </w:rPr>
      </w:pPr>
    </w:p>
    <w:p w:rsidR="0056568E" w:rsidRDefault="0056568E" w:rsidP="001D3C29">
      <w:pPr>
        <w:widowControl/>
        <w:suppressAutoHyphens w:val="0"/>
        <w:jc w:val="both"/>
        <w:rPr>
          <w:rFonts w:ascii="Arial" w:eastAsia="Times New Roman" w:hAnsi="Arial"/>
          <w:kern w:val="0"/>
          <w:lang w:val="es-ES" w:eastAsia="es-ES"/>
        </w:rPr>
      </w:pPr>
    </w:p>
    <w:p w:rsidR="0056568E" w:rsidRDefault="0056568E" w:rsidP="001D3C29">
      <w:pPr>
        <w:widowControl/>
        <w:suppressAutoHyphens w:val="0"/>
        <w:jc w:val="both"/>
        <w:rPr>
          <w:rFonts w:ascii="Arial" w:eastAsia="Times New Roman" w:hAnsi="Arial"/>
          <w:kern w:val="0"/>
          <w:lang w:val="es-ES" w:eastAsia="es-ES"/>
        </w:rPr>
      </w:pPr>
    </w:p>
    <w:p w:rsidR="0056568E" w:rsidRPr="001D3C29" w:rsidRDefault="0056568E" w:rsidP="001D3C29">
      <w:pPr>
        <w:widowControl/>
        <w:suppressAutoHyphens w:val="0"/>
        <w:jc w:val="both"/>
        <w:rPr>
          <w:rFonts w:ascii="Arial" w:eastAsia="Times New Roman" w:hAnsi="Arial"/>
          <w:kern w:val="0"/>
          <w:lang w:val="es-ES" w:eastAsia="es-ES"/>
        </w:rPr>
      </w:pPr>
    </w:p>
    <w:p w:rsidR="001D3C29" w:rsidRPr="001D3C29" w:rsidRDefault="001D3C29" w:rsidP="001D3C29">
      <w:pPr>
        <w:widowControl/>
        <w:suppressAutoHyphens w:val="0"/>
        <w:jc w:val="both"/>
        <w:rPr>
          <w:rFonts w:ascii="Arial" w:eastAsia="Times New Roman" w:hAnsi="Arial"/>
          <w:kern w:val="0"/>
          <w:lang w:val="es-ES" w:eastAsia="es-ES"/>
        </w:rPr>
      </w:pPr>
    </w:p>
    <w:p w:rsidR="001D3C29" w:rsidRPr="001D3C29" w:rsidRDefault="001D3C29" w:rsidP="001D3C29">
      <w:pPr>
        <w:widowControl/>
        <w:suppressAutoHyphens w:val="0"/>
        <w:jc w:val="center"/>
        <w:rPr>
          <w:rFonts w:ascii="Arial" w:eastAsia="Times New Roman" w:hAnsi="Arial"/>
          <w:b/>
          <w:kern w:val="0"/>
          <w:lang w:val="es-ES" w:eastAsia="es-ES"/>
        </w:rPr>
      </w:pPr>
      <w:r w:rsidRPr="001D3C29">
        <w:rPr>
          <w:rFonts w:ascii="Arial" w:eastAsia="Times New Roman" w:hAnsi="Arial"/>
          <w:b/>
          <w:kern w:val="0"/>
          <w:lang w:val="es-ES" w:eastAsia="es-ES"/>
        </w:rPr>
        <w:t>CAPÍTULO IV</w:t>
      </w:r>
    </w:p>
    <w:p w:rsidR="001D3C29" w:rsidRPr="001D3C29" w:rsidRDefault="001D3C29" w:rsidP="001D3C29">
      <w:pPr>
        <w:widowControl/>
        <w:suppressAutoHyphens w:val="0"/>
        <w:jc w:val="center"/>
        <w:rPr>
          <w:rFonts w:ascii="Arial" w:eastAsia="Times New Roman" w:hAnsi="Arial"/>
          <w:b/>
          <w:kern w:val="0"/>
          <w:lang w:val="es-ES" w:eastAsia="es-ES"/>
        </w:rPr>
      </w:pPr>
    </w:p>
    <w:p w:rsidR="003D6A1A" w:rsidRDefault="003D6A1A" w:rsidP="001D3C29">
      <w:pPr>
        <w:widowControl/>
        <w:suppressAutoHyphens w:val="0"/>
        <w:jc w:val="center"/>
        <w:rPr>
          <w:rFonts w:ascii="Arial" w:eastAsia="Times New Roman" w:hAnsi="Arial"/>
          <w:b/>
          <w:kern w:val="0"/>
          <w:lang w:val="es-ES" w:eastAsia="es-ES"/>
        </w:rPr>
      </w:pPr>
    </w:p>
    <w:p w:rsidR="001D3C29" w:rsidRPr="001D3C29" w:rsidRDefault="001D3C29" w:rsidP="001D3C29">
      <w:pPr>
        <w:widowControl/>
        <w:suppressAutoHyphens w:val="0"/>
        <w:jc w:val="center"/>
        <w:rPr>
          <w:rFonts w:ascii="Arial" w:eastAsia="Times New Roman" w:hAnsi="Arial"/>
          <w:b/>
          <w:kern w:val="0"/>
          <w:lang w:val="es-ES" w:eastAsia="es-ES"/>
        </w:rPr>
      </w:pPr>
      <w:r w:rsidRPr="001D3C29">
        <w:rPr>
          <w:rFonts w:ascii="Arial" w:eastAsia="Times New Roman" w:hAnsi="Arial"/>
          <w:b/>
          <w:kern w:val="0"/>
          <w:lang w:val="es-ES" w:eastAsia="es-ES"/>
        </w:rPr>
        <w:t>DE OTROS PRODUCTOS CON CONTENIDO DE PLOMO</w:t>
      </w:r>
    </w:p>
    <w:p w:rsidR="001D3C29" w:rsidRPr="001D3C29" w:rsidRDefault="001D3C29" w:rsidP="001D3C29">
      <w:pPr>
        <w:widowControl/>
        <w:suppressAutoHyphens w:val="0"/>
        <w:jc w:val="both"/>
        <w:rPr>
          <w:rFonts w:ascii="Arial" w:eastAsia="Times New Roman" w:hAnsi="Arial"/>
          <w:kern w:val="0"/>
          <w:lang w:val="es-ES" w:eastAsia="es-ES"/>
        </w:rPr>
      </w:pPr>
    </w:p>
    <w:p w:rsidR="001D3C29" w:rsidRPr="001D3C29" w:rsidRDefault="001D3C29" w:rsidP="001D3C29">
      <w:pPr>
        <w:widowControl/>
        <w:suppressAutoHyphens w:val="0"/>
        <w:jc w:val="both"/>
        <w:rPr>
          <w:rFonts w:ascii="Arial" w:eastAsia="Times New Roman" w:hAnsi="Arial"/>
          <w:kern w:val="0"/>
          <w:lang w:val="es-ES" w:eastAsia="es-ES"/>
        </w:rPr>
      </w:pPr>
      <w:r w:rsidRPr="001D3C29">
        <w:rPr>
          <w:rFonts w:ascii="Arial" w:eastAsia="Times New Roman" w:hAnsi="Arial"/>
          <w:b/>
          <w:kern w:val="0"/>
          <w:lang w:val="es-ES" w:eastAsia="es-ES"/>
        </w:rPr>
        <w:t>Artículo 14º</w:t>
      </w:r>
      <w:r w:rsidRPr="001D3C29">
        <w:rPr>
          <w:rFonts w:ascii="Arial" w:eastAsia="Times New Roman" w:hAnsi="Arial"/>
          <w:kern w:val="0"/>
          <w:lang w:val="es-ES" w:eastAsia="es-ES"/>
        </w:rPr>
        <w:t>: Se prohíbe el uso de plomo en las tuberías y accesorios, soldaduras o fundentes, en la instalación o reparación de cualquier sistema de distribución de agua para uso humano, animal o de riego.</w:t>
      </w:r>
    </w:p>
    <w:p w:rsidR="001D3C29" w:rsidRPr="001D3C29" w:rsidRDefault="001D3C29" w:rsidP="001D3C29">
      <w:pPr>
        <w:widowControl/>
        <w:suppressAutoHyphens w:val="0"/>
        <w:jc w:val="both"/>
        <w:rPr>
          <w:rFonts w:ascii="Arial" w:eastAsia="Times New Roman" w:hAnsi="Arial"/>
          <w:kern w:val="0"/>
          <w:lang w:val="es-ES" w:eastAsia="es-ES"/>
        </w:rPr>
      </w:pPr>
    </w:p>
    <w:p w:rsidR="001D3C29" w:rsidRPr="001D3C29" w:rsidRDefault="001D3C29" w:rsidP="001D3C29">
      <w:pPr>
        <w:widowControl/>
        <w:suppressAutoHyphens w:val="0"/>
        <w:jc w:val="both"/>
        <w:rPr>
          <w:rFonts w:ascii="Arial" w:eastAsia="Times New Roman" w:hAnsi="Arial"/>
          <w:kern w:val="0"/>
          <w:lang w:val="es-ES" w:eastAsia="es-ES"/>
        </w:rPr>
      </w:pPr>
      <w:r w:rsidRPr="001D3C29">
        <w:rPr>
          <w:rFonts w:ascii="Arial" w:eastAsia="Times New Roman" w:hAnsi="Arial"/>
          <w:kern w:val="0"/>
          <w:lang w:val="es-ES" w:eastAsia="es-ES"/>
        </w:rPr>
        <w:t>Se considera, a estos efectos, que una tubería y/o accesorio cumple dicho requisito si contiene menos del 1% (uno por ciento) de dicho metal y una soldadura o fundente si su contenido del metal no es mayor al 0.2% (cero con dos por ciento) o si no tiene contacto con el agua.</w:t>
      </w:r>
    </w:p>
    <w:p w:rsidR="001D3C29" w:rsidRPr="001D3C29" w:rsidRDefault="001D3C29" w:rsidP="001D3C29">
      <w:pPr>
        <w:widowControl/>
        <w:suppressAutoHyphens w:val="0"/>
        <w:jc w:val="both"/>
        <w:rPr>
          <w:rFonts w:ascii="Arial" w:eastAsia="Times New Roman" w:hAnsi="Arial"/>
          <w:kern w:val="0"/>
          <w:lang w:val="es-ES" w:eastAsia="es-ES"/>
        </w:rPr>
      </w:pPr>
    </w:p>
    <w:p w:rsidR="001D3C29" w:rsidRDefault="001D3C29" w:rsidP="001D3C29">
      <w:pPr>
        <w:widowControl/>
        <w:suppressAutoHyphens w:val="0"/>
        <w:jc w:val="both"/>
        <w:rPr>
          <w:rFonts w:ascii="Arial" w:eastAsia="Times New Roman" w:hAnsi="Arial"/>
          <w:kern w:val="0"/>
          <w:lang w:val="es-ES" w:eastAsia="es-ES"/>
        </w:rPr>
      </w:pPr>
      <w:r w:rsidRPr="001D3C29">
        <w:rPr>
          <w:rFonts w:ascii="Arial" w:eastAsia="Times New Roman" w:hAnsi="Arial"/>
          <w:b/>
          <w:kern w:val="0"/>
          <w:lang w:val="es-ES" w:eastAsia="es-ES"/>
        </w:rPr>
        <w:t>Parágrafo:</w:t>
      </w:r>
      <w:r w:rsidRPr="001D3C29">
        <w:rPr>
          <w:rFonts w:ascii="Arial" w:eastAsia="Times New Roman" w:hAnsi="Arial"/>
          <w:kern w:val="0"/>
          <w:lang w:val="es-ES" w:eastAsia="es-ES"/>
        </w:rPr>
        <w:t xml:space="preserve"> Los productores y comercializadores de productos de tubería y accesorios que contengan plomo deberán señalar en una parte visible de las mismas una mención expresa sobre el contenido de plomo del material y en el evento de superar los límites señalados en el presente artículo, contemplar la advertencia clara, de que los mismos no pueden ser utilizados para agua para</w:t>
      </w:r>
      <w:r w:rsidR="002167F6">
        <w:rPr>
          <w:rFonts w:ascii="Arial" w:eastAsia="Times New Roman" w:hAnsi="Arial"/>
          <w:kern w:val="0"/>
          <w:lang w:val="es-ES" w:eastAsia="es-ES"/>
        </w:rPr>
        <w:t xml:space="preserve"> uso humano, animal o de riego.</w:t>
      </w:r>
    </w:p>
    <w:p w:rsidR="002167F6" w:rsidRPr="001D3C29" w:rsidRDefault="002167F6" w:rsidP="001D3C29">
      <w:pPr>
        <w:widowControl/>
        <w:suppressAutoHyphens w:val="0"/>
        <w:jc w:val="both"/>
        <w:rPr>
          <w:rFonts w:ascii="Arial" w:eastAsia="Times New Roman" w:hAnsi="Arial"/>
          <w:kern w:val="0"/>
          <w:lang w:val="es-ES" w:eastAsia="es-ES"/>
        </w:rPr>
      </w:pPr>
    </w:p>
    <w:p w:rsidR="001D3C29" w:rsidRPr="001D3C29" w:rsidRDefault="001D3C29" w:rsidP="001D3C29">
      <w:pPr>
        <w:widowControl/>
        <w:suppressAutoHyphens w:val="0"/>
        <w:jc w:val="both"/>
        <w:rPr>
          <w:rFonts w:ascii="Arial" w:eastAsia="Times New Roman" w:hAnsi="Arial"/>
          <w:kern w:val="0"/>
          <w:lang w:val="es-ES" w:eastAsia="es-ES"/>
        </w:rPr>
      </w:pPr>
      <w:r w:rsidRPr="001D3C29">
        <w:rPr>
          <w:rFonts w:ascii="Arial" w:eastAsia="Times New Roman" w:hAnsi="Arial"/>
          <w:b/>
          <w:kern w:val="0"/>
          <w:lang w:val="es-ES" w:eastAsia="es-ES"/>
        </w:rPr>
        <w:t xml:space="preserve">Artículo 15º: </w:t>
      </w:r>
      <w:r w:rsidRPr="001D3C29">
        <w:rPr>
          <w:rFonts w:ascii="Arial" w:eastAsia="Times New Roman" w:hAnsi="Arial"/>
          <w:kern w:val="0"/>
          <w:lang w:val="es-ES" w:eastAsia="es-ES"/>
        </w:rPr>
        <w:t>Se prohíbe el uso de plomo en juguetes, así como en elementos naturalmente expuestos al contacto directo y potencialmente frecuente por parte de niños y niñas y adolescentes. En cualquier caso no podrán venderse productos para niños y niñas con niveles de plomo superiores a 50 ppm.</w:t>
      </w:r>
    </w:p>
    <w:p w:rsidR="001D3C29" w:rsidRPr="001D3C29" w:rsidRDefault="001D3C29" w:rsidP="001D3C29">
      <w:pPr>
        <w:widowControl/>
        <w:suppressAutoHyphens w:val="0"/>
        <w:jc w:val="both"/>
        <w:rPr>
          <w:rFonts w:ascii="Arial" w:eastAsia="Times New Roman" w:hAnsi="Arial"/>
          <w:kern w:val="0"/>
          <w:lang w:val="es-ES" w:eastAsia="es-ES"/>
        </w:rPr>
      </w:pPr>
    </w:p>
    <w:p w:rsidR="001D3C29" w:rsidRPr="001D3C29" w:rsidRDefault="001D3C29" w:rsidP="001D3C29">
      <w:pPr>
        <w:widowControl/>
        <w:suppressAutoHyphens w:val="0"/>
        <w:jc w:val="both"/>
        <w:rPr>
          <w:rFonts w:ascii="Arial" w:eastAsia="Times New Roman" w:hAnsi="Arial"/>
          <w:kern w:val="0"/>
          <w:lang w:val="es-ES" w:eastAsia="es-ES"/>
        </w:rPr>
      </w:pPr>
      <w:r w:rsidRPr="001D3C29">
        <w:rPr>
          <w:rFonts w:ascii="Arial" w:eastAsia="Times New Roman" w:hAnsi="Arial"/>
          <w:b/>
          <w:kern w:val="0"/>
          <w:lang w:val="es-ES" w:eastAsia="es-ES"/>
        </w:rPr>
        <w:t>Artículo 16º</w:t>
      </w:r>
      <w:r w:rsidRPr="001D3C29">
        <w:rPr>
          <w:rFonts w:ascii="Arial" w:eastAsia="Times New Roman" w:hAnsi="Arial"/>
          <w:kern w:val="0"/>
          <w:lang w:val="es-ES" w:eastAsia="es-ES"/>
        </w:rPr>
        <w:t>: Se prohíbe la fabricación, importación o comercialización de alimentos envasados en recipientes que contengan plomo, salvo las excepciones de partes de plomo por millón establecidas en la reglamentación.</w:t>
      </w:r>
    </w:p>
    <w:p w:rsidR="001D3C29" w:rsidRPr="001D3C29" w:rsidRDefault="001D3C29" w:rsidP="001D3C29">
      <w:pPr>
        <w:widowControl/>
        <w:suppressAutoHyphens w:val="0"/>
        <w:jc w:val="both"/>
        <w:rPr>
          <w:rFonts w:ascii="Arial" w:eastAsia="Times New Roman" w:hAnsi="Arial"/>
          <w:kern w:val="0"/>
          <w:lang w:val="es-ES" w:eastAsia="es-ES"/>
        </w:rPr>
      </w:pPr>
    </w:p>
    <w:p w:rsidR="001D3C29" w:rsidRPr="001D3C29" w:rsidRDefault="001D3C29" w:rsidP="001D3C29">
      <w:pPr>
        <w:widowControl/>
        <w:suppressAutoHyphens w:val="0"/>
        <w:jc w:val="both"/>
        <w:rPr>
          <w:rFonts w:ascii="Arial" w:eastAsia="Times New Roman" w:hAnsi="Arial"/>
          <w:kern w:val="0"/>
          <w:lang w:val="es-ES" w:eastAsia="es-ES"/>
        </w:rPr>
      </w:pPr>
      <w:r w:rsidRPr="001D3C29">
        <w:rPr>
          <w:rFonts w:ascii="Arial" w:eastAsia="Times New Roman" w:hAnsi="Arial"/>
          <w:b/>
          <w:kern w:val="0"/>
          <w:lang w:val="es-ES" w:eastAsia="es-ES"/>
        </w:rPr>
        <w:t>Artículo 17º</w:t>
      </w:r>
      <w:r w:rsidRPr="001D3C29">
        <w:rPr>
          <w:rFonts w:ascii="Arial" w:eastAsia="Times New Roman" w:hAnsi="Arial"/>
          <w:kern w:val="0"/>
          <w:lang w:val="es-ES" w:eastAsia="es-ES"/>
        </w:rPr>
        <w:t>: Se prohíbe la fabricación, importación o comercialización de cualquier artículo como ropa, accesorios, joyerías, objetos decorativos, productos comestibles, dulces alimentos, suplementos dietéticos, juguetes, muebles u otros artículos utilizados por niños y niñas o con la finalidad de ser masticados por éstos que contengan entre sus materiales plomo.</w:t>
      </w:r>
    </w:p>
    <w:p w:rsidR="001D3C29" w:rsidRPr="001D3C29" w:rsidRDefault="001D3C29" w:rsidP="001D3C29">
      <w:pPr>
        <w:widowControl/>
        <w:suppressAutoHyphens w:val="0"/>
        <w:jc w:val="both"/>
        <w:rPr>
          <w:rFonts w:ascii="Arial" w:eastAsia="Times New Roman" w:hAnsi="Arial"/>
          <w:kern w:val="0"/>
          <w:lang w:val="es-ES" w:eastAsia="es-ES"/>
        </w:rPr>
      </w:pPr>
    </w:p>
    <w:p w:rsidR="001D3C29" w:rsidRPr="001D3C29" w:rsidRDefault="001D3C29" w:rsidP="001D3C29">
      <w:pPr>
        <w:widowControl/>
        <w:suppressAutoHyphens w:val="0"/>
        <w:jc w:val="both"/>
        <w:rPr>
          <w:rFonts w:ascii="Arial" w:eastAsia="Times New Roman" w:hAnsi="Arial"/>
          <w:kern w:val="0"/>
          <w:lang w:val="es-ES" w:eastAsia="es-ES"/>
        </w:rPr>
      </w:pPr>
      <w:r w:rsidRPr="001D3C29">
        <w:rPr>
          <w:rFonts w:ascii="Arial" w:eastAsia="Times New Roman" w:hAnsi="Arial"/>
          <w:b/>
          <w:kern w:val="0"/>
          <w:lang w:val="es-ES" w:eastAsia="es-ES"/>
        </w:rPr>
        <w:t>Artículo 18º</w:t>
      </w:r>
      <w:r w:rsidRPr="001D3C29">
        <w:rPr>
          <w:rFonts w:ascii="Arial" w:eastAsia="Times New Roman" w:hAnsi="Arial"/>
          <w:kern w:val="0"/>
          <w:lang w:val="es-ES" w:eastAsia="es-ES"/>
        </w:rPr>
        <w:t>: Todos los productos procesados que contengan plomo deberán indicarlo en caracteres claramente legibles e impresos en rótulos en su parte externa, con la inclusión de la proporción correspondiente.</w:t>
      </w:r>
    </w:p>
    <w:p w:rsidR="001D3C29" w:rsidRPr="001D3C29" w:rsidRDefault="001D3C29" w:rsidP="001D3C29">
      <w:pPr>
        <w:widowControl/>
        <w:suppressAutoHyphens w:val="0"/>
        <w:jc w:val="both"/>
        <w:rPr>
          <w:rFonts w:ascii="Arial" w:eastAsia="Times New Roman" w:hAnsi="Arial"/>
          <w:kern w:val="0"/>
          <w:lang w:val="es-ES" w:eastAsia="es-ES"/>
        </w:rPr>
      </w:pPr>
    </w:p>
    <w:p w:rsidR="001D3C29" w:rsidRPr="001D3C29" w:rsidRDefault="001D3C29" w:rsidP="001D3C29">
      <w:pPr>
        <w:widowControl/>
        <w:suppressAutoHyphens w:val="0"/>
        <w:jc w:val="both"/>
        <w:rPr>
          <w:rFonts w:ascii="Arial" w:eastAsia="Times New Roman" w:hAnsi="Arial"/>
          <w:kern w:val="0"/>
          <w:lang w:val="es-ES" w:eastAsia="es-ES"/>
        </w:rPr>
      </w:pPr>
      <w:r w:rsidRPr="001D3C29">
        <w:rPr>
          <w:rFonts w:ascii="Arial" w:eastAsia="Times New Roman" w:hAnsi="Arial"/>
          <w:b/>
          <w:kern w:val="0"/>
          <w:lang w:val="es-ES" w:eastAsia="es-ES"/>
        </w:rPr>
        <w:t>Artículo 19º</w:t>
      </w:r>
      <w:r w:rsidRPr="001D3C29">
        <w:rPr>
          <w:rFonts w:ascii="Arial" w:eastAsia="Times New Roman" w:hAnsi="Arial"/>
          <w:kern w:val="0"/>
          <w:lang w:val="es-ES" w:eastAsia="es-ES"/>
        </w:rPr>
        <w:t xml:space="preserve">: Establézcase como periodo de transición, el plazo de un año a partir de la publicación de la presente ley, para efectos que todas las personas físicas o jurídicas </w:t>
      </w:r>
      <w:r w:rsidR="002167F6">
        <w:rPr>
          <w:rFonts w:ascii="Arial" w:eastAsia="Times New Roman" w:hAnsi="Arial"/>
          <w:kern w:val="0"/>
          <w:lang w:val="es-ES" w:eastAsia="es-ES"/>
        </w:rPr>
        <w:t xml:space="preserve">puedan </w:t>
      </w:r>
      <w:r w:rsidRPr="001D3C29">
        <w:rPr>
          <w:rFonts w:ascii="Arial" w:eastAsia="Times New Roman" w:hAnsi="Arial"/>
          <w:kern w:val="0"/>
          <w:lang w:val="es-ES" w:eastAsia="es-ES"/>
        </w:rPr>
        <w:t>adecuarse a los mandatos aquí establecidos.</w:t>
      </w:r>
    </w:p>
    <w:p w:rsidR="001D3C29" w:rsidRPr="001D3C29" w:rsidRDefault="001D3C29" w:rsidP="001D3C29">
      <w:pPr>
        <w:widowControl/>
        <w:suppressAutoHyphens w:val="0"/>
        <w:jc w:val="both"/>
        <w:rPr>
          <w:rFonts w:ascii="Arial" w:eastAsia="Times New Roman" w:hAnsi="Arial"/>
          <w:kern w:val="0"/>
          <w:lang w:val="es-ES" w:eastAsia="es-ES"/>
        </w:rPr>
      </w:pPr>
    </w:p>
    <w:p w:rsidR="001D3C29" w:rsidRDefault="001D3C29" w:rsidP="001D3C29">
      <w:pPr>
        <w:widowControl/>
        <w:suppressAutoHyphens w:val="0"/>
        <w:jc w:val="both"/>
        <w:rPr>
          <w:rFonts w:ascii="Arial" w:eastAsia="Times New Roman" w:hAnsi="Arial"/>
          <w:kern w:val="0"/>
          <w:lang w:val="es-ES" w:eastAsia="es-ES"/>
        </w:rPr>
      </w:pPr>
    </w:p>
    <w:p w:rsidR="003D6A1A" w:rsidRDefault="003D6A1A" w:rsidP="001D3C29">
      <w:pPr>
        <w:widowControl/>
        <w:suppressAutoHyphens w:val="0"/>
        <w:jc w:val="both"/>
        <w:rPr>
          <w:rFonts w:ascii="Arial" w:eastAsia="Times New Roman" w:hAnsi="Arial"/>
          <w:kern w:val="0"/>
          <w:lang w:val="es-ES" w:eastAsia="es-ES"/>
        </w:rPr>
      </w:pPr>
    </w:p>
    <w:p w:rsidR="003D6A1A" w:rsidRDefault="003D6A1A" w:rsidP="001D3C29">
      <w:pPr>
        <w:widowControl/>
        <w:suppressAutoHyphens w:val="0"/>
        <w:jc w:val="both"/>
        <w:rPr>
          <w:rFonts w:ascii="Arial" w:eastAsia="Times New Roman" w:hAnsi="Arial"/>
          <w:kern w:val="0"/>
          <w:lang w:val="es-ES" w:eastAsia="es-ES"/>
        </w:rPr>
      </w:pPr>
    </w:p>
    <w:p w:rsidR="003D6A1A" w:rsidRDefault="003D6A1A" w:rsidP="001D3C29">
      <w:pPr>
        <w:widowControl/>
        <w:suppressAutoHyphens w:val="0"/>
        <w:jc w:val="both"/>
        <w:rPr>
          <w:rFonts w:ascii="Arial" w:eastAsia="Times New Roman" w:hAnsi="Arial"/>
          <w:kern w:val="0"/>
          <w:lang w:val="es-ES" w:eastAsia="es-ES"/>
        </w:rPr>
      </w:pPr>
    </w:p>
    <w:p w:rsidR="003D6A1A" w:rsidRDefault="003D6A1A" w:rsidP="001D3C29">
      <w:pPr>
        <w:widowControl/>
        <w:suppressAutoHyphens w:val="0"/>
        <w:jc w:val="both"/>
        <w:rPr>
          <w:rFonts w:ascii="Arial" w:eastAsia="Times New Roman" w:hAnsi="Arial"/>
          <w:kern w:val="0"/>
          <w:lang w:val="es-ES" w:eastAsia="es-ES"/>
        </w:rPr>
      </w:pPr>
    </w:p>
    <w:p w:rsidR="003D6A1A" w:rsidRPr="001D3C29" w:rsidRDefault="003D6A1A" w:rsidP="001D3C29">
      <w:pPr>
        <w:widowControl/>
        <w:suppressAutoHyphens w:val="0"/>
        <w:jc w:val="both"/>
        <w:rPr>
          <w:rFonts w:ascii="Arial" w:eastAsia="Times New Roman" w:hAnsi="Arial"/>
          <w:kern w:val="0"/>
          <w:lang w:val="es-ES" w:eastAsia="es-ES"/>
        </w:rPr>
      </w:pPr>
    </w:p>
    <w:p w:rsidR="001D3C29" w:rsidRPr="001D3C29" w:rsidRDefault="001D3C29" w:rsidP="001D3C29">
      <w:pPr>
        <w:widowControl/>
        <w:suppressAutoHyphens w:val="0"/>
        <w:jc w:val="center"/>
        <w:rPr>
          <w:rFonts w:ascii="Arial" w:eastAsia="Times New Roman" w:hAnsi="Arial"/>
          <w:b/>
          <w:kern w:val="0"/>
          <w:lang w:val="es-ES" w:eastAsia="es-ES"/>
        </w:rPr>
      </w:pPr>
      <w:r w:rsidRPr="001D3C29">
        <w:rPr>
          <w:rFonts w:ascii="Arial" w:eastAsia="Times New Roman" w:hAnsi="Arial"/>
          <w:b/>
          <w:kern w:val="0"/>
          <w:lang w:val="es-ES" w:eastAsia="es-ES"/>
        </w:rPr>
        <w:t>CAPITULO V</w:t>
      </w:r>
    </w:p>
    <w:p w:rsidR="001D3C29" w:rsidRPr="001D3C29" w:rsidRDefault="001D3C29" w:rsidP="001D3C29">
      <w:pPr>
        <w:widowControl/>
        <w:suppressAutoHyphens w:val="0"/>
        <w:jc w:val="center"/>
        <w:rPr>
          <w:rFonts w:ascii="Arial" w:eastAsia="Times New Roman" w:hAnsi="Arial"/>
          <w:b/>
          <w:kern w:val="0"/>
          <w:lang w:val="es-ES" w:eastAsia="es-ES"/>
        </w:rPr>
      </w:pPr>
    </w:p>
    <w:p w:rsidR="001D3C29" w:rsidRPr="001D3C29" w:rsidRDefault="001D3C29" w:rsidP="001D3C29">
      <w:pPr>
        <w:widowControl/>
        <w:suppressAutoHyphens w:val="0"/>
        <w:jc w:val="center"/>
        <w:rPr>
          <w:rFonts w:ascii="Arial" w:eastAsia="Times New Roman" w:hAnsi="Arial"/>
          <w:b/>
          <w:kern w:val="0"/>
          <w:lang w:val="es-ES" w:eastAsia="es-ES"/>
        </w:rPr>
      </w:pPr>
      <w:r w:rsidRPr="001D3C29">
        <w:rPr>
          <w:rFonts w:ascii="Arial" w:eastAsia="Times New Roman" w:hAnsi="Arial"/>
          <w:b/>
          <w:kern w:val="0"/>
          <w:lang w:val="es-ES" w:eastAsia="es-ES"/>
        </w:rPr>
        <w:t>DE LOS PROCESOS INDUSTRIALES Y DE LOS CAMINOS DEL PLOMO</w:t>
      </w:r>
    </w:p>
    <w:p w:rsidR="001D3C29" w:rsidRPr="001D3C29" w:rsidRDefault="001D3C29" w:rsidP="001D3C29">
      <w:pPr>
        <w:widowControl/>
        <w:suppressAutoHyphens w:val="0"/>
        <w:jc w:val="both"/>
        <w:rPr>
          <w:rFonts w:ascii="Arial" w:eastAsia="Times New Roman" w:hAnsi="Arial"/>
          <w:kern w:val="0"/>
          <w:lang w:val="es-ES" w:eastAsia="es-ES"/>
        </w:rPr>
      </w:pPr>
    </w:p>
    <w:p w:rsidR="001D3C29" w:rsidRPr="001D3C29" w:rsidRDefault="001D3C29" w:rsidP="001D3C29">
      <w:pPr>
        <w:widowControl/>
        <w:suppressAutoHyphens w:val="0"/>
        <w:jc w:val="both"/>
        <w:rPr>
          <w:rFonts w:ascii="Arial" w:eastAsia="Times New Roman" w:hAnsi="Arial"/>
          <w:kern w:val="0"/>
          <w:lang w:val="es-ES" w:eastAsia="es-ES"/>
        </w:rPr>
      </w:pPr>
      <w:r w:rsidRPr="001D3C29">
        <w:rPr>
          <w:rFonts w:ascii="Arial" w:eastAsia="Times New Roman" w:hAnsi="Arial"/>
          <w:b/>
          <w:kern w:val="0"/>
          <w:lang w:val="es-ES" w:eastAsia="es-ES"/>
        </w:rPr>
        <w:t xml:space="preserve">Artículo 20º: </w:t>
      </w:r>
      <w:r w:rsidRPr="001D3C29">
        <w:rPr>
          <w:rFonts w:ascii="Arial" w:eastAsia="Times New Roman" w:hAnsi="Arial"/>
          <w:kern w:val="0"/>
          <w:lang w:val="es-ES" w:eastAsia="es-ES"/>
        </w:rPr>
        <w:t>Todas aquellas industrias que en sus procesos incluyan plomo y sus compuestos deberán ser relevadas o supervisadas por las autoridades ambientales competentes a nivel nacional, departamental o distrital, debiéndose llevar un registro público y nacional, el que será coordinado p</w:t>
      </w:r>
      <w:r w:rsidR="002167F6">
        <w:rPr>
          <w:rFonts w:ascii="Arial" w:eastAsia="Times New Roman" w:hAnsi="Arial"/>
          <w:kern w:val="0"/>
          <w:lang w:val="es-ES" w:eastAsia="es-ES"/>
        </w:rPr>
        <w:t>or el Ministerio de Ambiente y Desarrollo S</w:t>
      </w:r>
      <w:r w:rsidRPr="001D3C29">
        <w:rPr>
          <w:rFonts w:ascii="Arial" w:eastAsia="Times New Roman" w:hAnsi="Arial"/>
          <w:kern w:val="0"/>
          <w:lang w:val="es-ES" w:eastAsia="es-ES"/>
        </w:rPr>
        <w:t>ostenible, y ser especialmente controlados y monitoreados sus procesos, emisiones gaseosas, efluentes líquidos, y la gestión de sus residuos sólidos asociados, en sus diversas etapas.</w:t>
      </w:r>
    </w:p>
    <w:p w:rsidR="001D3C29" w:rsidRPr="001D3C29" w:rsidRDefault="001D3C29" w:rsidP="001D3C29">
      <w:pPr>
        <w:widowControl/>
        <w:suppressAutoHyphens w:val="0"/>
        <w:jc w:val="both"/>
        <w:rPr>
          <w:rFonts w:ascii="Arial" w:eastAsia="Times New Roman" w:hAnsi="Arial"/>
          <w:kern w:val="0"/>
          <w:lang w:val="es-ES" w:eastAsia="es-ES"/>
        </w:rPr>
      </w:pPr>
    </w:p>
    <w:p w:rsidR="001D3C29" w:rsidRPr="001D3C29" w:rsidRDefault="001D3C29" w:rsidP="001D3C29">
      <w:pPr>
        <w:widowControl/>
        <w:suppressAutoHyphens w:val="0"/>
        <w:jc w:val="both"/>
        <w:rPr>
          <w:rFonts w:ascii="Arial" w:eastAsia="Times New Roman" w:hAnsi="Arial"/>
          <w:kern w:val="0"/>
          <w:lang w:val="es-ES" w:eastAsia="es-ES"/>
        </w:rPr>
      </w:pPr>
      <w:r w:rsidRPr="001D3C29">
        <w:rPr>
          <w:rFonts w:ascii="Arial" w:eastAsia="Times New Roman" w:hAnsi="Arial"/>
          <w:b/>
          <w:kern w:val="0"/>
          <w:lang w:val="es-ES" w:eastAsia="es-ES"/>
        </w:rPr>
        <w:t>Parágrafo.</w:t>
      </w:r>
      <w:r w:rsidRPr="001D3C29">
        <w:rPr>
          <w:rFonts w:ascii="Arial" w:eastAsia="Times New Roman" w:hAnsi="Arial"/>
          <w:kern w:val="0"/>
          <w:lang w:val="es-ES" w:eastAsia="es-ES"/>
        </w:rPr>
        <w:t xml:space="preserve"> Dentro de los seis meses siguientes </w:t>
      </w:r>
      <w:r w:rsidR="002167F6">
        <w:rPr>
          <w:rFonts w:ascii="Arial" w:eastAsia="Times New Roman" w:hAnsi="Arial"/>
          <w:kern w:val="0"/>
          <w:lang w:val="es-ES" w:eastAsia="es-ES"/>
        </w:rPr>
        <w:t>a la expedición de la presente l</w:t>
      </w:r>
      <w:r w:rsidRPr="001D3C29">
        <w:rPr>
          <w:rFonts w:ascii="Arial" w:eastAsia="Times New Roman" w:hAnsi="Arial"/>
          <w:kern w:val="0"/>
          <w:lang w:val="es-ES" w:eastAsia="es-ES"/>
        </w:rPr>
        <w:t>ey</w:t>
      </w:r>
      <w:r w:rsidR="002167F6">
        <w:rPr>
          <w:rFonts w:ascii="Arial" w:eastAsia="Times New Roman" w:hAnsi="Arial"/>
          <w:kern w:val="0"/>
          <w:lang w:val="es-ES" w:eastAsia="es-ES"/>
        </w:rPr>
        <w:t>, el Ministerio de Ambiente y Desarrollo S</w:t>
      </w:r>
      <w:r w:rsidRPr="001D3C29">
        <w:rPr>
          <w:rFonts w:ascii="Arial" w:eastAsia="Times New Roman" w:hAnsi="Arial"/>
          <w:kern w:val="0"/>
          <w:lang w:val="es-ES" w:eastAsia="es-ES"/>
        </w:rPr>
        <w:t xml:space="preserve">ostenible, elaborará los protocolos de seguimiento ambiental que serán desarrolladas por las entidades ambientales competentes, respecto a las emisiones gaseosas, efluentes líquidos, y la gestión de sus residuos sólidos asociados, en diversas </w:t>
      </w:r>
      <w:r w:rsidR="002167F6">
        <w:rPr>
          <w:rFonts w:ascii="Arial" w:eastAsia="Times New Roman" w:hAnsi="Arial"/>
          <w:kern w:val="0"/>
          <w:lang w:val="es-ES" w:eastAsia="es-ES"/>
        </w:rPr>
        <w:t>etapas para el seguimiento del p</w:t>
      </w:r>
      <w:r w:rsidRPr="001D3C29">
        <w:rPr>
          <w:rFonts w:ascii="Arial" w:eastAsia="Times New Roman" w:hAnsi="Arial"/>
          <w:kern w:val="0"/>
          <w:lang w:val="es-ES" w:eastAsia="es-ES"/>
        </w:rPr>
        <w:t>lomo.</w:t>
      </w:r>
    </w:p>
    <w:p w:rsidR="001D3C29" w:rsidRPr="001D3C29" w:rsidRDefault="001D3C29" w:rsidP="001D3C29">
      <w:pPr>
        <w:widowControl/>
        <w:suppressAutoHyphens w:val="0"/>
        <w:jc w:val="both"/>
        <w:rPr>
          <w:rFonts w:ascii="Arial" w:eastAsia="Times New Roman" w:hAnsi="Arial"/>
          <w:kern w:val="0"/>
          <w:lang w:val="es-ES" w:eastAsia="es-ES"/>
        </w:rPr>
      </w:pPr>
    </w:p>
    <w:p w:rsidR="001D3C29" w:rsidRDefault="001D3C29" w:rsidP="001D3C29">
      <w:pPr>
        <w:widowControl/>
        <w:suppressAutoHyphens w:val="0"/>
        <w:jc w:val="both"/>
        <w:rPr>
          <w:rFonts w:ascii="Arial" w:eastAsia="Times New Roman" w:hAnsi="Arial"/>
          <w:kern w:val="0"/>
          <w:lang w:val="es-ES" w:eastAsia="es-ES"/>
        </w:rPr>
      </w:pPr>
      <w:r w:rsidRPr="001D3C29">
        <w:rPr>
          <w:rFonts w:ascii="Arial" w:eastAsia="Times New Roman" w:hAnsi="Arial"/>
          <w:b/>
          <w:kern w:val="0"/>
          <w:lang w:val="es-ES" w:eastAsia="es-ES"/>
        </w:rPr>
        <w:t xml:space="preserve">Artículo 21º: </w:t>
      </w:r>
      <w:r w:rsidRPr="001D3C29">
        <w:rPr>
          <w:rFonts w:ascii="Arial" w:eastAsia="Times New Roman" w:hAnsi="Arial"/>
          <w:kern w:val="0"/>
          <w:lang w:val="es-ES" w:eastAsia="es-ES"/>
        </w:rPr>
        <w:t>Las empresas que comercialicen productos con plomo, deberán inform</w:t>
      </w:r>
      <w:r w:rsidR="002167F6">
        <w:rPr>
          <w:rFonts w:ascii="Arial" w:eastAsia="Times New Roman" w:hAnsi="Arial"/>
          <w:kern w:val="0"/>
          <w:lang w:val="es-ES" w:eastAsia="es-ES"/>
        </w:rPr>
        <w:t>ar al Ministerio de Ambiente y Desarrollo S</w:t>
      </w:r>
      <w:r w:rsidRPr="001D3C29">
        <w:rPr>
          <w:rFonts w:ascii="Arial" w:eastAsia="Times New Roman" w:hAnsi="Arial"/>
          <w:kern w:val="0"/>
          <w:lang w:val="es-ES" w:eastAsia="es-ES"/>
        </w:rPr>
        <w:t>ostenible sobre orígenes, depósitos, tránsitos y destinos de dichos productos, sin perjuicio de la aplicación de las demás normas nacionales y municipales que correspondan.</w:t>
      </w:r>
    </w:p>
    <w:p w:rsidR="00C85CE1" w:rsidRDefault="00C85CE1" w:rsidP="001D3C29">
      <w:pPr>
        <w:widowControl/>
        <w:suppressAutoHyphens w:val="0"/>
        <w:jc w:val="both"/>
        <w:rPr>
          <w:rFonts w:ascii="Arial" w:eastAsia="Times New Roman" w:hAnsi="Arial"/>
          <w:kern w:val="0"/>
          <w:lang w:val="es-ES" w:eastAsia="es-ES"/>
        </w:rPr>
      </w:pPr>
    </w:p>
    <w:p w:rsidR="00C85CE1" w:rsidRPr="00C85CE1" w:rsidRDefault="00C85CE1" w:rsidP="00C85CE1">
      <w:pPr>
        <w:widowControl/>
        <w:suppressAutoHyphens w:val="0"/>
        <w:jc w:val="both"/>
        <w:rPr>
          <w:rFonts w:ascii="Arial" w:eastAsia="Times New Roman" w:hAnsi="Arial"/>
          <w:kern w:val="0"/>
          <w:lang w:val="es-ES" w:eastAsia="es-ES"/>
        </w:rPr>
      </w:pPr>
      <w:r w:rsidRPr="00C85CE1">
        <w:rPr>
          <w:rFonts w:ascii="Arial" w:eastAsia="Times New Roman" w:hAnsi="Arial"/>
          <w:b/>
          <w:kern w:val="0"/>
          <w:lang w:val="es-ES" w:eastAsia="es-ES"/>
        </w:rPr>
        <w:t>Artículo 22°:</w:t>
      </w:r>
      <w:r>
        <w:rPr>
          <w:rFonts w:ascii="Arial Narrow" w:hAnsi="Arial Narrow" w:cs="Arial"/>
          <w:color w:val="000000"/>
        </w:rPr>
        <w:t xml:space="preserve"> </w:t>
      </w:r>
      <w:r w:rsidRPr="00C85CE1">
        <w:rPr>
          <w:rFonts w:ascii="Arial" w:eastAsia="Times New Roman" w:hAnsi="Arial"/>
          <w:kern w:val="0"/>
          <w:lang w:val="es-ES" w:eastAsia="es-ES"/>
        </w:rPr>
        <w:t>En aquellos puestos de trabajo en los que exista riesgo de exposición</w:t>
      </w:r>
      <w:r>
        <w:rPr>
          <w:rFonts w:ascii="Arial" w:eastAsia="Times New Roman" w:hAnsi="Arial"/>
          <w:kern w:val="0"/>
          <w:lang w:val="es-ES" w:eastAsia="es-ES"/>
        </w:rPr>
        <w:t xml:space="preserve"> al Plomo,</w:t>
      </w:r>
      <w:r w:rsidRPr="00C85CE1">
        <w:rPr>
          <w:rFonts w:ascii="Arial" w:eastAsia="Times New Roman" w:hAnsi="Arial"/>
          <w:kern w:val="0"/>
          <w:lang w:val="es-ES" w:eastAsia="es-ES"/>
        </w:rPr>
        <w:t xml:space="preserve"> la empresa estará obligada, por sí misma o por medio de servicios especializados, a realizar la evaluación de las concentraciones ambientales de plomo.</w:t>
      </w:r>
    </w:p>
    <w:p w:rsidR="00C85CE1" w:rsidRPr="00C85CE1" w:rsidRDefault="00C85CE1" w:rsidP="00C85CE1">
      <w:pPr>
        <w:widowControl/>
        <w:suppressAutoHyphens w:val="0"/>
        <w:jc w:val="both"/>
        <w:rPr>
          <w:rFonts w:ascii="Arial" w:eastAsia="Times New Roman" w:hAnsi="Arial"/>
          <w:kern w:val="0"/>
          <w:lang w:val="es-ES" w:eastAsia="es-ES"/>
        </w:rPr>
      </w:pPr>
    </w:p>
    <w:p w:rsidR="00C85CE1" w:rsidRPr="00C85CE1" w:rsidRDefault="00C85CE1" w:rsidP="00C85CE1">
      <w:pPr>
        <w:widowControl/>
        <w:suppressAutoHyphens w:val="0"/>
        <w:jc w:val="both"/>
        <w:rPr>
          <w:rFonts w:ascii="Arial" w:eastAsia="Times New Roman" w:hAnsi="Arial"/>
          <w:kern w:val="0"/>
          <w:lang w:val="es-ES" w:eastAsia="es-ES"/>
        </w:rPr>
      </w:pPr>
      <w:r w:rsidRPr="00C85CE1">
        <w:rPr>
          <w:rFonts w:ascii="Arial" w:eastAsia="Times New Roman" w:hAnsi="Arial"/>
          <w:kern w:val="0"/>
          <w:lang w:val="es-ES" w:eastAsia="es-ES"/>
        </w:rPr>
        <w:t>Las muestras serán necesariamente de tipo personal disponiéndose los elementos de captación sobre el trabajador y serán efectuadas de manera que permitan la evaluación de la exposición máxima probable del trabajador o trabajadores, teniendo en cuenta el trabajo efectuado, las condiciones de trabajo y la duración de la exposición. La duración del muestreo deberá abarcar el 80% de la jornada laboral diaria como mínimo. Cuando existan grupos de trabajadores que realicen idénticas tareas que supongan un grado de exposición análogo, las muestras personales podrán reducirse a un número de puestos de trabajo suficientemente representativo de los citados grupos, efectuándose al menos un muestreo personal por cada diez trabajadores y turno de trabajo.</w:t>
      </w:r>
    </w:p>
    <w:p w:rsidR="00C85CE1" w:rsidRPr="00C85CE1" w:rsidRDefault="00C85CE1" w:rsidP="00C85CE1">
      <w:pPr>
        <w:widowControl/>
        <w:suppressAutoHyphens w:val="0"/>
        <w:jc w:val="both"/>
        <w:rPr>
          <w:rFonts w:ascii="Arial" w:eastAsia="Times New Roman" w:hAnsi="Arial"/>
          <w:kern w:val="0"/>
          <w:lang w:val="es-ES" w:eastAsia="es-ES"/>
        </w:rPr>
      </w:pPr>
    </w:p>
    <w:p w:rsidR="00360995" w:rsidRDefault="00360995" w:rsidP="00C85CE1">
      <w:pPr>
        <w:widowControl/>
        <w:suppressAutoHyphens w:val="0"/>
        <w:jc w:val="both"/>
        <w:rPr>
          <w:rFonts w:ascii="Arial" w:eastAsia="Times New Roman" w:hAnsi="Arial"/>
          <w:kern w:val="0"/>
          <w:lang w:val="es-ES" w:eastAsia="es-ES"/>
        </w:rPr>
      </w:pPr>
      <w:r>
        <w:rPr>
          <w:rFonts w:ascii="Arial" w:eastAsia="Times New Roman" w:hAnsi="Arial"/>
          <w:kern w:val="0"/>
          <w:lang w:val="es-ES" w:eastAsia="es-ES"/>
        </w:rPr>
        <w:lastRenderedPageBreak/>
        <w:t>El Ministerio de Ambiente y Desarrollo Sostenible, junto al Ministerio de Trabajo, d</w:t>
      </w:r>
      <w:r w:rsidR="00C85CE1" w:rsidRPr="00C85CE1">
        <w:rPr>
          <w:rFonts w:ascii="Arial" w:eastAsia="Times New Roman" w:hAnsi="Arial"/>
          <w:kern w:val="0"/>
          <w:lang w:val="es-ES" w:eastAsia="es-ES"/>
        </w:rPr>
        <w:t>efinir</w:t>
      </w:r>
      <w:r>
        <w:rPr>
          <w:rFonts w:ascii="Arial" w:eastAsia="Times New Roman" w:hAnsi="Arial"/>
          <w:kern w:val="0"/>
          <w:lang w:val="es-ES" w:eastAsia="es-ES"/>
        </w:rPr>
        <w:t>án</w:t>
      </w:r>
      <w:r w:rsidR="00C85CE1" w:rsidRPr="00C85CE1">
        <w:rPr>
          <w:rFonts w:ascii="Arial" w:eastAsia="Times New Roman" w:hAnsi="Arial"/>
          <w:kern w:val="0"/>
          <w:lang w:val="es-ES" w:eastAsia="es-ES"/>
        </w:rPr>
        <w:t xml:space="preserve"> los métodos de muestreo</w:t>
      </w:r>
      <w:r>
        <w:rPr>
          <w:rFonts w:ascii="Arial" w:eastAsia="Times New Roman" w:hAnsi="Arial"/>
          <w:kern w:val="0"/>
          <w:lang w:val="es-ES" w:eastAsia="es-ES"/>
        </w:rPr>
        <w:t>, condiciones de muestras y</w:t>
      </w:r>
      <w:r w:rsidR="00C85CE1" w:rsidRPr="00C85CE1">
        <w:rPr>
          <w:rFonts w:ascii="Arial" w:eastAsia="Times New Roman" w:hAnsi="Arial"/>
          <w:kern w:val="0"/>
          <w:lang w:val="es-ES" w:eastAsia="es-ES"/>
        </w:rPr>
        <w:t xml:space="preserve"> análisis empleados.</w:t>
      </w:r>
    </w:p>
    <w:p w:rsidR="00360995" w:rsidRDefault="00360995" w:rsidP="00C85CE1">
      <w:pPr>
        <w:widowControl/>
        <w:suppressAutoHyphens w:val="0"/>
        <w:jc w:val="both"/>
        <w:rPr>
          <w:rFonts w:ascii="Arial" w:eastAsia="Times New Roman" w:hAnsi="Arial"/>
          <w:kern w:val="0"/>
          <w:lang w:val="es-ES" w:eastAsia="es-ES"/>
        </w:rPr>
      </w:pPr>
    </w:p>
    <w:p w:rsidR="00C85CE1" w:rsidRPr="00C85CE1" w:rsidRDefault="00360995" w:rsidP="00112D4E">
      <w:pPr>
        <w:widowControl/>
        <w:suppressAutoHyphens w:val="0"/>
        <w:jc w:val="both"/>
        <w:rPr>
          <w:rFonts w:ascii="Arial" w:eastAsia="Times New Roman" w:hAnsi="Arial"/>
          <w:kern w:val="0"/>
          <w:lang w:val="es-ES" w:eastAsia="es-ES"/>
        </w:rPr>
      </w:pPr>
      <w:r>
        <w:rPr>
          <w:rFonts w:ascii="Arial" w:eastAsia="Times New Roman" w:hAnsi="Arial"/>
          <w:kern w:val="0"/>
          <w:lang w:val="es-ES" w:eastAsia="es-ES"/>
        </w:rPr>
        <w:t>En todo caso, previo el ingreso del trabajador, en los términos del Código</w:t>
      </w:r>
      <w:r w:rsidR="00112D4E">
        <w:rPr>
          <w:rFonts w:ascii="Arial" w:eastAsia="Times New Roman" w:hAnsi="Arial"/>
          <w:kern w:val="0"/>
          <w:lang w:val="es-ES" w:eastAsia="es-ES"/>
        </w:rPr>
        <w:t xml:space="preserve"> Sustantivo del Trabajo, deberá llevarse</w:t>
      </w:r>
      <w:r>
        <w:rPr>
          <w:rFonts w:ascii="Arial" w:eastAsia="Times New Roman" w:hAnsi="Arial"/>
          <w:kern w:val="0"/>
          <w:lang w:val="es-ES" w:eastAsia="es-ES"/>
        </w:rPr>
        <w:t xml:space="preserve"> a cabo </w:t>
      </w:r>
      <w:r w:rsidR="00C85CE1" w:rsidRPr="00C85CE1">
        <w:rPr>
          <w:rFonts w:ascii="Arial" w:eastAsia="Times New Roman" w:hAnsi="Arial"/>
          <w:kern w:val="0"/>
          <w:lang w:val="es-ES" w:eastAsia="es-ES"/>
        </w:rPr>
        <w:t xml:space="preserve">una evaluación inicial </w:t>
      </w:r>
      <w:r w:rsidR="00112D4E">
        <w:rPr>
          <w:rFonts w:ascii="Arial" w:eastAsia="Times New Roman" w:hAnsi="Arial"/>
          <w:kern w:val="0"/>
          <w:lang w:val="es-ES" w:eastAsia="es-ES"/>
        </w:rPr>
        <w:t xml:space="preserve">sobre los niveles de plomo </w:t>
      </w:r>
      <w:r w:rsidR="00C85CE1" w:rsidRPr="00C85CE1">
        <w:rPr>
          <w:rFonts w:ascii="Arial" w:eastAsia="Times New Roman" w:hAnsi="Arial"/>
          <w:kern w:val="0"/>
          <w:lang w:val="es-ES" w:eastAsia="es-ES"/>
        </w:rPr>
        <w:t>para garantizar que están bajo los parámetros legales. Si esta evaluación indica que existe algún trabajador con exposición igual o superior al reglamentado</w:t>
      </w:r>
      <w:r w:rsidR="00722E9F">
        <w:rPr>
          <w:rFonts w:ascii="Arial" w:eastAsia="Times New Roman" w:hAnsi="Arial"/>
          <w:kern w:val="0"/>
          <w:lang w:val="es-ES" w:eastAsia="es-ES"/>
        </w:rPr>
        <w:t xml:space="preserve">, el empleador, junto a la Administradora de Riesgos profesionales deberá </w:t>
      </w:r>
      <w:r w:rsidR="00C85CE1" w:rsidRPr="00C85CE1">
        <w:rPr>
          <w:rFonts w:ascii="Arial" w:eastAsia="Times New Roman" w:hAnsi="Arial"/>
          <w:kern w:val="0"/>
          <w:lang w:val="es-ES" w:eastAsia="es-ES"/>
        </w:rPr>
        <w:t>reali</w:t>
      </w:r>
      <w:r w:rsidR="00112D4E">
        <w:rPr>
          <w:rFonts w:ascii="Arial" w:eastAsia="Times New Roman" w:hAnsi="Arial"/>
          <w:kern w:val="0"/>
          <w:lang w:val="es-ES" w:eastAsia="es-ES"/>
        </w:rPr>
        <w:t>zar</w:t>
      </w:r>
      <w:r w:rsidR="00722E9F">
        <w:rPr>
          <w:rFonts w:ascii="Arial" w:eastAsia="Times New Roman" w:hAnsi="Arial"/>
          <w:kern w:val="0"/>
          <w:lang w:val="es-ES" w:eastAsia="es-ES"/>
        </w:rPr>
        <w:t xml:space="preserve"> un control</w:t>
      </w:r>
      <w:r w:rsidR="00112D4E">
        <w:rPr>
          <w:rFonts w:ascii="Arial" w:eastAsia="Times New Roman" w:hAnsi="Arial"/>
          <w:kern w:val="0"/>
          <w:lang w:val="es-ES" w:eastAsia="es-ES"/>
        </w:rPr>
        <w:t xml:space="preserve"> periódico ambiental</w:t>
      </w:r>
      <w:r w:rsidR="00722E9F">
        <w:rPr>
          <w:rFonts w:ascii="Arial" w:eastAsia="Times New Roman" w:hAnsi="Arial"/>
          <w:kern w:val="0"/>
          <w:lang w:val="es-ES" w:eastAsia="es-ES"/>
        </w:rPr>
        <w:t>, tendiente a reducir las fuentes de exposición en la empresa y el restablecimiento de la salud del trabajador</w:t>
      </w:r>
      <w:r w:rsidR="00C85CE1" w:rsidRPr="00C85CE1">
        <w:rPr>
          <w:rFonts w:ascii="Arial" w:eastAsia="Times New Roman" w:hAnsi="Arial"/>
          <w:kern w:val="0"/>
          <w:lang w:val="es-ES" w:eastAsia="es-ES"/>
        </w:rPr>
        <w:t>.</w:t>
      </w:r>
    </w:p>
    <w:p w:rsidR="00C85CE1" w:rsidRPr="001D3C29" w:rsidRDefault="00C85CE1" w:rsidP="001D3C29">
      <w:pPr>
        <w:widowControl/>
        <w:suppressAutoHyphens w:val="0"/>
        <w:jc w:val="both"/>
        <w:rPr>
          <w:rFonts w:ascii="Arial" w:eastAsia="Times New Roman" w:hAnsi="Arial"/>
          <w:kern w:val="0"/>
          <w:lang w:val="es-ES" w:eastAsia="es-ES"/>
        </w:rPr>
      </w:pPr>
    </w:p>
    <w:p w:rsidR="001D3C29" w:rsidRPr="001D3C29" w:rsidRDefault="001D3C29" w:rsidP="001D3C29">
      <w:pPr>
        <w:widowControl/>
        <w:suppressAutoHyphens w:val="0"/>
        <w:jc w:val="both"/>
        <w:rPr>
          <w:rFonts w:ascii="Arial" w:eastAsia="Times New Roman" w:hAnsi="Arial"/>
          <w:kern w:val="0"/>
          <w:lang w:val="es-ES" w:eastAsia="es-ES"/>
        </w:rPr>
      </w:pPr>
    </w:p>
    <w:p w:rsidR="001D3C29" w:rsidRPr="00C85CE1" w:rsidRDefault="001D3C29" w:rsidP="00C85CE1">
      <w:pPr>
        <w:widowControl/>
        <w:suppressAutoHyphens w:val="0"/>
        <w:jc w:val="both"/>
        <w:rPr>
          <w:rFonts w:ascii="Arial" w:eastAsia="Times New Roman" w:hAnsi="Arial"/>
          <w:kern w:val="0"/>
          <w:lang w:val="es-ES" w:eastAsia="es-ES"/>
        </w:rPr>
      </w:pPr>
    </w:p>
    <w:p w:rsidR="001D3C29" w:rsidRPr="001D3C29" w:rsidRDefault="001D3C29" w:rsidP="001D3C29">
      <w:pPr>
        <w:widowControl/>
        <w:suppressAutoHyphens w:val="0"/>
        <w:jc w:val="center"/>
        <w:rPr>
          <w:rFonts w:ascii="Arial" w:eastAsia="Times New Roman" w:hAnsi="Arial"/>
          <w:b/>
          <w:kern w:val="0"/>
          <w:lang w:val="es-ES" w:eastAsia="es-ES"/>
        </w:rPr>
      </w:pPr>
    </w:p>
    <w:p w:rsidR="001D3C29" w:rsidRPr="001D3C29" w:rsidRDefault="001D3C29" w:rsidP="001D3C29">
      <w:pPr>
        <w:widowControl/>
        <w:suppressAutoHyphens w:val="0"/>
        <w:jc w:val="center"/>
        <w:rPr>
          <w:rFonts w:ascii="Arial" w:eastAsia="Times New Roman" w:hAnsi="Arial"/>
          <w:b/>
          <w:kern w:val="0"/>
          <w:lang w:val="es-ES" w:eastAsia="es-ES"/>
        </w:rPr>
      </w:pPr>
      <w:r w:rsidRPr="001D3C29">
        <w:rPr>
          <w:rFonts w:ascii="Arial" w:eastAsia="Times New Roman" w:hAnsi="Arial"/>
          <w:b/>
          <w:kern w:val="0"/>
          <w:lang w:val="es-ES" w:eastAsia="es-ES"/>
        </w:rPr>
        <w:t>CAPÍTULO VI</w:t>
      </w:r>
    </w:p>
    <w:p w:rsidR="001D3C29" w:rsidRPr="001D3C29" w:rsidRDefault="001D3C29" w:rsidP="001D3C29">
      <w:pPr>
        <w:widowControl/>
        <w:suppressAutoHyphens w:val="0"/>
        <w:jc w:val="center"/>
        <w:rPr>
          <w:rFonts w:ascii="Arial" w:eastAsia="Times New Roman" w:hAnsi="Arial"/>
          <w:b/>
          <w:kern w:val="0"/>
          <w:lang w:val="es-ES" w:eastAsia="es-ES"/>
        </w:rPr>
      </w:pPr>
    </w:p>
    <w:p w:rsidR="001D3C29" w:rsidRPr="001D3C29" w:rsidRDefault="001D3C29" w:rsidP="001D3C29">
      <w:pPr>
        <w:widowControl/>
        <w:suppressAutoHyphens w:val="0"/>
        <w:jc w:val="center"/>
        <w:rPr>
          <w:rFonts w:ascii="Arial" w:eastAsia="Times New Roman" w:hAnsi="Arial"/>
          <w:b/>
          <w:kern w:val="0"/>
          <w:lang w:val="es-ES" w:eastAsia="es-ES"/>
        </w:rPr>
      </w:pPr>
      <w:r w:rsidRPr="001D3C29">
        <w:rPr>
          <w:rFonts w:ascii="Arial" w:eastAsia="Times New Roman" w:hAnsi="Arial"/>
          <w:b/>
          <w:kern w:val="0"/>
          <w:lang w:val="es-ES" w:eastAsia="es-ES"/>
        </w:rPr>
        <w:t>DE LOS SUELOS</w:t>
      </w:r>
    </w:p>
    <w:p w:rsidR="001D3C29" w:rsidRPr="001D3C29" w:rsidRDefault="001D3C29" w:rsidP="001D3C29">
      <w:pPr>
        <w:widowControl/>
        <w:suppressAutoHyphens w:val="0"/>
        <w:jc w:val="both"/>
        <w:rPr>
          <w:rFonts w:ascii="Arial" w:eastAsia="Times New Roman" w:hAnsi="Arial"/>
          <w:kern w:val="0"/>
          <w:lang w:val="es-ES" w:eastAsia="es-ES"/>
        </w:rPr>
      </w:pPr>
    </w:p>
    <w:p w:rsidR="001D3C29" w:rsidRPr="001D3C29" w:rsidRDefault="00A45989" w:rsidP="001D3C29">
      <w:pPr>
        <w:widowControl/>
        <w:suppressAutoHyphens w:val="0"/>
        <w:jc w:val="both"/>
        <w:rPr>
          <w:rFonts w:ascii="Arial" w:eastAsia="Times New Roman" w:hAnsi="Arial"/>
          <w:kern w:val="0"/>
          <w:lang w:val="es-ES" w:eastAsia="es-ES"/>
        </w:rPr>
      </w:pPr>
      <w:r>
        <w:rPr>
          <w:rFonts w:ascii="Arial" w:eastAsia="Times New Roman" w:hAnsi="Arial"/>
          <w:b/>
          <w:kern w:val="0"/>
          <w:lang w:val="es-ES" w:eastAsia="es-ES"/>
        </w:rPr>
        <w:t>Artículo 23</w:t>
      </w:r>
      <w:r w:rsidR="001D3C29" w:rsidRPr="001D3C29">
        <w:rPr>
          <w:rFonts w:ascii="Arial" w:eastAsia="Times New Roman" w:hAnsi="Arial"/>
          <w:b/>
          <w:kern w:val="0"/>
          <w:lang w:val="es-ES" w:eastAsia="es-ES"/>
        </w:rPr>
        <w:t>º</w:t>
      </w:r>
      <w:r w:rsidR="001D3C29" w:rsidRPr="001D3C29">
        <w:rPr>
          <w:rFonts w:ascii="Arial" w:eastAsia="Times New Roman" w:hAnsi="Arial"/>
          <w:kern w:val="0"/>
          <w:lang w:val="es-ES" w:eastAsia="es-ES"/>
        </w:rPr>
        <w:t>: Queda prohibido arrojar o depositar cualquier tipo de residuos que contengan plomo, por encima de los valores límites que fije la reglamentación, en terrenos o predios públicos o privados sin la correspondiente autorización que habilite para ello.</w:t>
      </w:r>
    </w:p>
    <w:p w:rsidR="001D3C29" w:rsidRPr="001D3C29" w:rsidRDefault="001D3C29" w:rsidP="001D3C29">
      <w:pPr>
        <w:widowControl/>
        <w:suppressAutoHyphens w:val="0"/>
        <w:jc w:val="both"/>
        <w:rPr>
          <w:rFonts w:ascii="Arial" w:eastAsia="Times New Roman" w:hAnsi="Arial"/>
          <w:kern w:val="0"/>
          <w:lang w:val="es-ES" w:eastAsia="es-ES"/>
        </w:rPr>
      </w:pPr>
    </w:p>
    <w:p w:rsidR="001D3C29" w:rsidRPr="001D3C29" w:rsidRDefault="001D3C29" w:rsidP="001D3C29">
      <w:pPr>
        <w:widowControl/>
        <w:suppressAutoHyphens w:val="0"/>
        <w:jc w:val="center"/>
        <w:rPr>
          <w:rFonts w:ascii="Arial" w:eastAsia="Times New Roman" w:hAnsi="Arial"/>
          <w:b/>
          <w:kern w:val="0"/>
          <w:lang w:val="es-ES" w:eastAsia="es-ES"/>
        </w:rPr>
      </w:pPr>
    </w:p>
    <w:p w:rsidR="001D3C29" w:rsidRPr="001D3C29" w:rsidRDefault="001D3C29" w:rsidP="001D3C29">
      <w:pPr>
        <w:widowControl/>
        <w:suppressAutoHyphens w:val="0"/>
        <w:jc w:val="center"/>
        <w:rPr>
          <w:rFonts w:ascii="Arial" w:eastAsia="Times New Roman" w:hAnsi="Arial"/>
          <w:b/>
          <w:kern w:val="0"/>
          <w:lang w:val="es-ES" w:eastAsia="es-ES"/>
        </w:rPr>
      </w:pPr>
      <w:r w:rsidRPr="001D3C29">
        <w:rPr>
          <w:rFonts w:ascii="Arial" w:eastAsia="Times New Roman" w:hAnsi="Arial"/>
          <w:b/>
          <w:kern w:val="0"/>
          <w:lang w:val="es-ES" w:eastAsia="es-ES"/>
        </w:rPr>
        <w:t>CAPÍTULO VII</w:t>
      </w:r>
    </w:p>
    <w:p w:rsidR="001D3C29" w:rsidRPr="001D3C29" w:rsidRDefault="001D3C29" w:rsidP="001D3C29">
      <w:pPr>
        <w:widowControl/>
        <w:suppressAutoHyphens w:val="0"/>
        <w:jc w:val="center"/>
        <w:rPr>
          <w:rFonts w:ascii="Arial" w:eastAsia="Times New Roman" w:hAnsi="Arial"/>
          <w:b/>
          <w:kern w:val="0"/>
          <w:lang w:val="es-ES" w:eastAsia="es-ES"/>
        </w:rPr>
      </w:pPr>
    </w:p>
    <w:p w:rsidR="001D3C29" w:rsidRPr="001D3C29" w:rsidRDefault="001D3C29" w:rsidP="001D3C29">
      <w:pPr>
        <w:widowControl/>
        <w:suppressAutoHyphens w:val="0"/>
        <w:jc w:val="center"/>
        <w:rPr>
          <w:rFonts w:ascii="Arial" w:eastAsia="Times New Roman" w:hAnsi="Arial"/>
          <w:b/>
          <w:kern w:val="0"/>
          <w:lang w:val="es-ES" w:eastAsia="es-ES"/>
        </w:rPr>
      </w:pPr>
      <w:r w:rsidRPr="001D3C29">
        <w:rPr>
          <w:rFonts w:ascii="Arial" w:eastAsia="Times New Roman" w:hAnsi="Arial"/>
          <w:b/>
          <w:kern w:val="0"/>
          <w:lang w:val="es-ES" w:eastAsia="es-ES"/>
        </w:rPr>
        <w:t>DE LAS BATERÍAS ACUMULADORAS ELÉCTRICAS Y DE OTROS DISPOSITIVOS</w:t>
      </w:r>
    </w:p>
    <w:p w:rsidR="001D3C29" w:rsidRPr="001D3C29" w:rsidRDefault="001D3C29" w:rsidP="001D3C29">
      <w:pPr>
        <w:widowControl/>
        <w:suppressAutoHyphens w:val="0"/>
        <w:jc w:val="both"/>
        <w:rPr>
          <w:rFonts w:ascii="Arial" w:eastAsia="Times New Roman" w:hAnsi="Arial"/>
          <w:b/>
          <w:kern w:val="0"/>
          <w:lang w:val="es-ES" w:eastAsia="es-ES"/>
        </w:rPr>
      </w:pPr>
    </w:p>
    <w:p w:rsidR="001D3C29" w:rsidRPr="001D3C29" w:rsidRDefault="00A45989" w:rsidP="001D3C29">
      <w:pPr>
        <w:widowControl/>
        <w:suppressAutoHyphens w:val="0"/>
        <w:jc w:val="both"/>
        <w:rPr>
          <w:rFonts w:ascii="Arial" w:eastAsia="Times New Roman" w:hAnsi="Arial"/>
          <w:kern w:val="0"/>
          <w:lang w:val="es-ES" w:eastAsia="es-ES"/>
        </w:rPr>
      </w:pPr>
      <w:r>
        <w:rPr>
          <w:rFonts w:ascii="Arial" w:eastAsia="Times New Roman" w:hAnsi="Arial"/>
          <w:b/>
          <w:kern w:val="0"/>
          <w:lang w:val="es-ES" w:eastAsia="es-ES"/>
        </w:rPr>
        <w:t>Artículo 24</w:t>
      </w:r>
      <w:r w:rsidR="001D3C29" w:rsidRPr="001D3C29">
        <w:rPr>
          <w:rFonts w:ascii="Arial" w:eastAsia="Times New Roman" w:hAnsi="Arial"/>
          <w:b/>
          <w:kern w:val="0"/>
          <w:lang w:val="es-ES" w:eastAsia="es-ES"/>
        </w:rPr>
        <w:t>º</w:t>
      </w:r>
      <w:r w:rsidR="001D3C29" w:rsidRPr="001D3C29">
        <w:rPr>
          <w:rFonts w:ascii="Arial" w:eastAsia="Times New Roman" w:hAnsi="Arial"/>
          <w:kern w:val="0"/>
          <w:lang w:val="es-ES" w:eastAsia="es-ES"/>
        </w:rPr>
        <w:t xml:space="preserve">: Todas las baterías de desecho </w:t>
      </w:r>
      <w:r w:rsidR="00D067C9">
        <w:rPr>
          <w:rFonts w:ascii="Arial" w:eastAsia="Times New Roman" w:hAnsi="Arial"/>
          <w:kern w:val="0"/>
          <w:lang w:val="es-ES" w:eastAsia="es-ES"/>
        </w:rPr>
        <w:t>que contengan</w:t>
      </w:r>
      <w:r w:rsidR="001D3C29" w:rsidRPr="001D3C29">
        <w:rPr>
          <w:rFonts w:ascii="Arial" w:eastAsia="Times New Roman" w:hAnsi="Arial"/>
          <w:kern w:val="0"/>
          <w:lang w:val="es-ES" w:eastAsia="es-ES"/>
        </w:rPr>
        <w:t xml:space="preserve"> plomo deberán entregarse a sus respectivos fabricantes o importadores y/o a quienes hagan sus veces, a efectos de que procedan a su manejo ambientalmente sostenible según lo que se establezca en la reglamentación pertinente. Los tenedores de baterías de desecho que no accedan al circuito comercial formal deberán entregarlas en los lugares que para tales efectos dispongan las autoridades Municipales o Distritales.</w:t>
      </w:r>
    </w:p>
    <w:p w:rsidR="001D3C29" w:rsidRPr="001D3C29" w:rsidRDefault="001D3C29" w:rsidP="001D3C29">
      <w:pPr>
        <w:widowControl/>
        <w:suppressAutoHyphens w:val="0"/>
        <w:jc w:val="both"/>
        <w:rPr>
          <w:rFonts w:ascii="Arial" w:eastAsia="Times New Roman" w:hAnsi="Arial"/>
          <w:kern w:val="0"/>
          <w:lang w:val="es-ES" w:eastAsia="es-ES"/>
        </w:rPr>
      </w:pPr>
    </w:p>
    <w:p w:rsidR="001D3C29" w:rsidRPr="001D3C29" w:rsidRDefault="00D067C9" w:rsidP="001D3C29">
      <w:pPr>
        <w:widowControl/>
        <w:suppressAutoHyphens w:val="0"/>
        <w:jc w:val="both"/>
        <w:rPr>
          <w:rFonts w:ascii="Arial" w:eastAsia="Times New Roman" w:hAnsi="Arial"/>
          <w:kern w:val="0"/>
          <w:lang w:val="es-ES" w:eastAsia="es-ES"/>
        </w:rPr>
      </w:pPr>
      <w:r>
        <w:rPr>
          <w:rFonts w:ascii="Arial" w:eastAsia="Times New Roman" w:hAnsi="Arial"/>
          <w:kern w:val="0"/>
          <w:lang w:val="es-ES" w:eastAsia="es-ES"/>
        </w:rPr>
        <w:t>El Ministerio de Ambiente y Desarrollo S</w:t>
      </w:r>
      <w:r w:rsidR="001D3C29" w:rsidRPr="001D3C29">
        <w:rPr>
          <w:rFonts w:ascii="Arial" w:eastAsia="Times New Roman" w:hAnsi="Arial"/>
          <w:kern w:val="0"/>
          <w:lang w:val="es-ES" w:eastAsia="es-ES"/>
        </w:rPr>
        <w:t>ostenible, en coordinación con las demás autoridades pertinentes, determinarán lugares para asegurar la recolección final de las baterías descartadas en condiciones de seguridad y de acuerdo con lo que establezca la reglamentación.</w:t>
      </w:r>
    </w:p>
    <w:p w:rsidR="001D3C29" w:rsidRPr="001D3C29" w:rsidRDefault="001D3C29" w:rsidP="001D3C29">
      <w:pPr>
        <w:widowControl/>
        <w:suppressAutoHyphens w:val="0"/>
        <w:jc w:val="both"/>
        <w:rPr>
          <w:rFonts w:ascii="Arial" w:eastAsia="Times New Roman" w:hAnsi="Arial"/>
          <w:kern w:val="0"/>
          <w:lang w:val="es-ES" w:eastAsia="es-ES"/>
        </w:rPr>
      </w:pPr>
    </w:p>
    <w:p w:rsidR="001D3C29" w:rsidRPr="001D3C29" w:rsidRDefault="00A45989" w:rsidP="001D3C29">
      <w:pPr>
        <w:widowControl/>
        <w:suppressAutoHyphens w:val="0"/>
        <w:jc w:val="both"/>
        <w:rPr>
          <w:rFonts w:ascii="Arial" w:eastAsia="Times New Roman" w:hAnsi="Arial"/>
          <w:kern w:val="0"/>
          <w:lang w:val="es-ES" w:eastAsia="es-ES"/>
        </w:rPr>
      </w:pPr>
      <w:r>
        <w:rPr>
          <w:rFonts w:ascii="Arial" w:eastAsia="Times New Roman" w:hAnsi="Arial"/>
          <w:b/>
          <w:kern w:val="0"/>
          <w:lang w:val="es-ES" w:eastAsia="es-ES"/>
        </w:rPr>
        <w:t>Artículo 25</w:t>
      </w:r>
      <w:r w:rsidR="001D3C29" w:rsidRPr="001D3C29">
        <w:rPr>
          <w:rFonts w:ascii="Arial" w:eastAsia="Times New Roman" w:hAnsi="Arial"/>
          <w:b/>
          <w:kern w:val="0"/>
          <w:lang w:val="es-ES" w:eastAsia="es-ES"/>
        </w:rPr>
        <w:t>º</w:t>
      </w:r>
      <w:r w:rsidR="001D3C29" w:rsidRPr="001D3C29">
        <w:rPr>
          <w:rFonts w:ascii="Arial" w:eastAsia="Times New Roman" w:hAnsi="Arial"/>
          <w:kern w:val="0"/>
          <w:lang w:val="es-ES" w:eastAsia="es-ES"/>
        </w:rPr>
        <w:t>: Queda totalmente prohibido importar baterías con plomo para reciclarlas en el territorio nacional.</w:t>
      </w:r>
    </w:p>
    <w:p w:rsidR="001D3C29" w:rsidRPr="001D3C29" w:rsidRDefault="001D3C29" w:rsidP="001D3C29">
      <w:pPr>
        <w:widowControl/>
        <w:suppressAutoHyphens w:val="0"/>
        <w:jc w:val="both"/>
        <w:rPr>
          <w:rFonts w:ascii="Arial" w:eastAsia="Times New Roman" w:hAnsi="Arial"/>
          <w:kern w:val="0"/>
          <w:lang w:val="es-ES" w:eastAsia="es-ES"/>
        </w:rPr>
      </w:pPr>
    </w:p>
    <w:p w:rsidR="001D3C29" w:rsidRPr="001D3C29" w:rsidRDefault="00844246" w:rsidP="001D3C29">
      <w:pPr>
        <w:widowControl/>
        <w:suppressAutoHyphens w:val="0"/>
        <w:jc w:val="both"/>
        <w:rPr>
          <w:rFonts w:ascii="Arial" w:eastAsia="Times New Roman" w:hAnsi="Arial"/>
          <w:kern w:val="0"/>
          <w:lang w:val="es-ES" w:eastAsia="es-ES"/>
        </w:rPr>
      </w:pPr>
      <w:r w:rsidRPr="001D3C29">
        <w:rPr>
          <w:rFonts w:ascii="Arial" w:eastAsia="Times New Roman" w:hAnsi="Arial"/>
          <w:b/>
          <w:kern w:val="0"/>
          <w:lang w:val="es-ES" w:eastAsia="es-ES"/>
        </w:rPr>
        <w:lastRenderedPageBreak/>
        <w:t>Artículo</w:t>
      </w:r>
      <w:r w:rsidR="00A45989">
        <w:rPr>
          <w:rFonts w:ascii="Arial" w:eastAsia="Times New Roman" w:hAnsi="Arial"/>
          <w:b/>
          <w:kern w:val="0"/>
          <w:lang w:val="es-ES" w:eastAsia="es-ES"/>
        </w:rPr>
        <w:t xml:space="preserve"> 26</w:t>
      </w:r>
      <w:r w:rsidR="001D3C29" w:rsidRPr="001D3C29">
        <w:rPr>
          <w:rFonts w:ascii="Arial" w:eastAsia="Times New Roman" w:hAnsi="Arial"/>
          <w:b/>
          <w:kern w:val="0"/>
          <w:lang w:val="es-ES" w:eastAsia="es-ES"/>
        </w:rPr>
        <w:t>º:</w:t>
      </w:r>
      <w:r w:rsidR="001D3C29" w:rsidRPr="001D3C29">
        <w:rPr>
          <w:rFonts w:ascii="Arial" w:eastAsia="Times New Roman" w:hAnsi="Arial"/>
          <w:kern w:val="0"/>
          <w:lang w:val="es-ES" w:eastAsia="es-ES"/>
        </w:rPr>
        <w:t xml:space="preserve"> El incumplimiento de los prec</w:t>
      </w:r>
      <w:r w:rsidR="00D067C9">
        <w:rPr>
          <w:rFonts w:ascii="Arial" w:eastAsia="Times New Roman" w:hAnsi="Arial"/>
          <w:kern w:val="0"/>
          <w:lang w:val="es-ES" w:eastAsia="es-ES"/>
        </w:rPr>
        <w:t>eptos de que trata la presente l</w:t>
      </w:r>
      <w:r w:rsidR="001D3C29" w:rsidRPr="001D3C29">
        <w:rPr>
          <w:rFonts w:ascii="Arial" w:eastAsia="Times New Roman" w:hAnsi="Arial"/>
          <w:kern w:val="0"/>
          <w:lang w:val="es-ES" w:eastAsia="es-ES"/>
        </w:rPr>
        <w:t xml:space="preserve">ey, y las que establezcan los reglamentos, dará lugar al decomiso respectivo de los bienes y el cierre de los establecimientos de comercio, </w:t>
      </w:r>
      <w:r w:rsidR="00D067C9" w:rsidRPr="001D3C29">
        <w:rPr>
          <w:rFonts w:ascii="Arial" w:eastAsia="Times New Roman" w:hAnsi="Arial"/>
          <w:kern w:val="0"/>
          <w:lang w:val="es-ES" w:eastAsia="es-ES"/>
        </w:rPr>
        <w:t>así</w:t>
      </w:r>
      <w:r w:rsidR="001D3C29" w:rsidRPr="001D3C29">
        <w:rPr>
          <w:rFonts w:ascii="Arial" w:eastAsia="Times New Roman" w:hAnsi="Arial"/>
          <w:kern w:val="0"/>
          <w:lang w:val="es-ES" w:eastAsia="es-ES"/>
        </w:rPr>
        <w:t xml:space="preserve"> como el cerramiento de los sitios de almacenamiento de productos que contengan plomo. El procedimiento de decomiso se efectuará de conformidad con las medidas previstas en los reglamentos, expedidos p</w:t>
      </w:r>
      <w:r w:rsidR="00D067C9">
        <w:rPr>
          <w:rFonts w:ascii="Arial" w:eastAsia="Times New Roman" w:hAnsi="Arial"/>
          <w:kern w:val="0"/>
          <w:lang w:val="es-ES" w:eastAsia="es-ES"/>
        </w:rPr>
        <w:t>or el Ministerio de Ambiente y Desarrollo S</w:t>
      </w:r>
      <w:r w:rsidR="001D3C29" w:rsidRPr="001D3C29">
        <w:rPr>
          <w:rFonts w:ascii="Arial" w:eastAsia="Times New Roman" w:hAnsi="Arial"/>
          <w:kern w:val="0"/>
          <w:lang w:val="es-ES" w:eastAsia="es-ES"/>
        </w:rPr>
        <w:t>ostenible, sin perjuicio de las demás sanciones que establezcan los reglamentos.</w:t>
      </w:r>
    </w:p>
    <w:p w:rsidR="001D3C29" w:rsidRPr="001D3C29" w:rsidRDefault="001D3C29" w:rsidP="001D3C29">
      <w:pPr>
        <w:widowControl/>
        <w:suppressAutoHyphens w:val="0"/>
        <w:jc w:val="both"/>
        <w:rPr>
          <w:rFonts w:ascii="Arial" w:eastAsia="Times New Roman" w:hAnsi="Arial"/>
          <w:kern w:val="0"/>
          <w:lang w:val="es-ES" w:eastAsia="es-ES"/>
        </w:rPr>
      </w:pPr>
    </w:p>
    <w:p w:rsidR="001D3C29" w:rsidRPr="001D3C29" w:rsidRDefault="00A45989" w:rsidP="001D3C29">
      <w:pPr>
        <w:widowControl/>
        <w:suppressAutoHyphens w:val="0"/>
        <w:jc w:val="both"/>
        <w:rPr>
          <w:rFonts w:ascii="Arial" w:eastAsia="Times New Roman" w:hAnsi="Arial"/>
          <w:kern w:val="0"/>
          <w:lang w:val="es-ES" w:eastAsia="es-ES"/>
        </w:rPr>
      </w:pPr>
      <w:r>
        <w:rPr>
          <w:rFonts w:ascii="Arial" w:eastAsia="Times New Roman" w:hAnsi="Arial"/>
          <w:b/>
          <w:kern w:val="0"/>
          <w:lang w:val="es-ES" w:eastAsia="es-ES"/>
        </w:rPr>
        <w:t>Artículo 27</w:t>
      </w:r>
      <w:r w:rsidR="003136F8" w:rsidRPr="003136F8">
        <w:rPr>
          <w:rFonts w:ascii="Arial" w:eastAsia="Times New Roman" w:hAnsi="Arial"/>
          <w:b/>
          <w:kern w:val="0"/>
          <w:lang w:val="es-ES" w:eastAsia="es-ES"/>
        </w:rPr>
        <w:t xml:space="preserve">°: </w:t>
      </w:r>
      <w:r w:rsidR="001D3C29" w:rsidRPr="003136F8">
        <w:rPr>
          <w:rFonts w:ascii="Arial" w:eastAsia="Times New Roman" w:hAnsi="Arial"/>
          <w:b/>
          <w:kern w:val="0"/>
          <w:lang w:val="es-ES" w:eastAsia="es-ES"/>
        </w:rPr>
        <w:t>Vigencia</w:t>
      </w:r>
      <w:r w:rsidR="001D3C29" w:rsidRPr="001D3C29">
        <w:rPr>
          <w:rFonts w:ascii="Arial" w:eastAsia="Times New Roman" w:hAnsi="Arial"/>
          <w:kern w:val="0"/>
          <w:lang w:val="es-ES" w:eastAsia="es-ES"/>
        </w:rPr>
        <w:t>. La presente ley entrará a</w:t>
      </w:r>
      <w:r w:rsidR="00D067C9">
        <w:rPr>
          <w:rFonts w:ascii="Arial" w:eastAsia="Times New Roman" w:hAnsi="Arial"/>
          <w:kern w:val="0"/>
          <w:lang w:val="es-ES" w:eastAsia="es-ES"/>
        </w:rPr>
        <w:t xml:space="preserve"> regir a partir de su sanción, p</w:t>
      </w:r>
      <w:r w:rsidR="001D3C29" w:rsidRPr="001D3C29">
        <w:rPr>
          <w:rFonts w:ascii="Arial" w:eastAsia="Times New Roman" w:hAnsi="Arial"/>
          <w:kern w:val="0"/>
          <w:lang w:val="es-ES" w:eastAsia="es-ES"/>
        </w:rPr>
        <w:t>romulgación y publicación en el Diario Oficial.</w:t>
      </w:r>
    </w:p>
    <w:p w:rsidR="00493869" w:rsidRPr="001D3C29" w:rsidRDefault="00493869" w:rsidP="00427E83">
      <w:pPr>
        <w:pStyle w:val="Sinespaciado"/>
        <w:rPr>
          <w:rFonts w:ascii="Monotype Corsiva" w:hAnsi="Monotype Corsiva"/>
          <w:b/>
          <w:sz w:val="24"/>
        </w:rPr>
      </w:pPr>
    </w:p>
    <w:p w:rsidR="00EF3037" w:rsidRDefault="00EF3037" w:rsidP="009A7F3E">
      <w:pPr>
        <w:pStyle w:val="Sinespaciado"/>
        <w:jc w:val="both"/>
        <w:rPr>
          <w:sz w:val="24"/>
          <w:lang w:val="es-CO"/>
        </w:rPr>
      </w:pPr>
    </w:p>
    <w:p w:rsidR="00493869" w:rsidRPr="00493869" w:rsidRDefault="00493869" w:rsidP="009A7F3E">
      <w:pPr>
        <w:pStyle w:val="Sinespaciado"/>
        <w:jc w:val="both"/>
        <w:rPr>
          <w:sz w:val="28"/>
          <w:szCs w:val="28"/>
          <w:lang w:val="es-CO"/>
        </w:rPr>
      </w:pPr>
    </w:p>
    <w:p w:rsidR="00493869" w:rsidRPr="00493869" w:rsidRDefault="00493869" w:rsidP="009A7F3E">
      <w:pPr>
        <w:pStyle w:val="Sinespaciado"/>
        <w:jc w:val="both"/>
        <w:rPr>
          <w:sz w:val="28"/>
          <w:szCs w:val="28"/>
          <w:lang w:val="es-CO"/>
        </w:rPr>
      </w:pPr>
    </w:p>
    <w:p w:rsidR="00493869" w:rsidRDefault="00493869" w:rsidP="009A7F3E">
      <w:pPr>
        <w:pStyle w:val="Sinespaciado"/>
        <w:jc w:val="both"/>
        <w:rPr>
          <w:sz w:val="28"/>
          <w:szCs w:val="28"/>
          <w:lang w:val="es-CO"/>
        </w:rPr>
      </w:pPr>
    </w:p>
    <w:p w:rsidR="0091758F" w:rsidRPr="003D6A1A" w:rsidRDefault="0091758F" w:rsidP="0091758F">
      <w:pPr>
        <w:widowControl/>
        <w:suppressAutoHyphens w:val="0"/>
        <w:rPr>
          <w:rFonts w:ascii="Arial" w:eastAsia="Times New Roman" w:hAnsi="Arial" w:cs="Arial"/>
          <w:b/>
          <w:kern w:val="0"/>
          <w:lang w:val="es-CO" w:eastAsia="es-ES"/>
        </w:rPr>
      </w:pPr>
      <w:r w:rsidRPr="003D6A1A">
        <w:rPr>
          <w:rFonts w:ascii="Arial" w:eastAsia="Times New Roman" w:hAnsi="Arial" w:cs="Arial"/>
          <w:b/>
          <w:kern w:val="0"/>
          <w:lang w:val="es-CO" w:eastAsia="es-ES"/>
        </w:rPr>
        <w:t>NADIA BLEL SCAFF</w:t>
      </w:r>
    </w:p>
    <w:p w:rsidR="0091758F" w:rsidRPr="00493869" w:rsidRDefault="0091758F" w:rsidP="0091758F">
      <w:pPr>
        <w:pStyle w:val="Sinespaciado"/>
        <w:jc w:val="both"/>
        <w:rPr>
          <w:sz w:val="28"/>
          <w:szCs w:val="28"/>
          <w:lang w:val="es-CO"/>
        </w:rPr>
      </w:pPr>
      <w:r w:rsidRPr="001D3C29">
        <w:rPr>
          <w:rFonts w:ascii="Arial" w:eastAsia="Times New Roman" w:hAnsi="Arial" w:cs="Arial"/>
          <w:lang w:val="es-CO" w:eastAsia="es-ES"/>
        </w:rPr>
        <w:t>SENADORA DE LA REPUBLICA</w:t>
      </w:r>
    </w:p>
    <w:sectPr w:rsidR="0091758F" w:rsidRPr="00493869" w:rsidSect="006318C3">
      <w:headerReference w:type="default" r:id="rId23"/>
      <w:footerReference w:type="default" r:id="rId24"/>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2E0B" w:rsidRDefault="00912E0B" w:rsidP="00207DA6">
      <w:r>
        <w:separator/>
      </w:r>
    </w:p>
  </w:endnote>
  <w:endnote w:type="continuationSeparator" w:id="0">
    <w:p w:rsidR="00912E0B" w:rsidRDefault="00912E0B" w:rsidP="00207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9A1" w:rsidRDefault="009009A1">
    <w:pPr>
      <w:pStyle w:val="Piedepgina"/>
      <w:rPr>
        <w:lang w:val="en-US"/>
      </w:rPr>
    </w:pPr>
  </w:p>
  <w:p w:rsidR="009009A1" w:rsidRDefault="009009A1">
    <w:pPr>
      <w:pStyle w:val="Piedepgina"/>
      <w:rPr>
        <w:lang w:val="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9A1" w:rsidRDefault="009009A1" w:rsidP="00207DA6">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2E0B" w:rsidRDefault="00912E0B" w:rsidP="00207DA6">
      <w:r>
        <w:separator/>
      </w:r>
    </w:p>
  </w:footnote>
  <w:footnote w:type="continuationSeparator" w:id="0">
    <w:p w:rsidR="00912E0B" w:rsidRDefault="00912E0B" w:rsidP="00207D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9A1" w:rsidRDefault="009009A1" w:rsidP="00844246">
    <w:pPr>
      <w:pStyle w:val="Encabezado"/>
      <w:jc w:val="right"/>
      <w:rPr>
        <w:b/>
        <w:sz w:val="16"/>
        <w:szCs w:val="16"/>
      </w:rPr>
    </w:pPr>
  </w:p>
  <w:p w:rsidR="009009A1" w:rsidRDefault="009009A1" w:rsidP="00844246">
    <w:pPr>
      <w:pStyle w:val="Encabezado"/>
      <w:jc w:val="center"/>
      <w:rPr>
        <w:rFonts w:ascii="Times New Roman" w:hAnsi="Times New Roman"/>
        <w:sz w:val="18"/>
        <w:szCs w:val="18"/>
      </w:rPr>
    </w:pPr>
    <w:r>
      <w:rPr>
        <w:rFonts w:ascii="Times New Roman" w:hAnsi="Times New Roman"/>
        <w:noProof/>
        <w:sz w:val="18"/>
        <w:szCs w:val="18"/>
        <w:lang w:val="es-CO" w:eastAsia="es-CO"/>
      </w:rPr>
      <w:drawing>
        <wp:inline distT="0" distB="0" distL="0" distR="0">
          <wp:extent cx="3401695" cy="749935"/>
          <wp:effectExtent l="0" t="0" r="825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01695" cy="749935"/>
                  </a:xfrm>
                  <a:prstGeom prst="rect">
                    <a:avLst/>
                  </a:prstGeom>
                  <a:noFill/>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9A1" w:rsidRDefault="009009A1" w:rsidP="00EF3037">
    <w:pPr>
      <w:pStyle w:val="Encabezado"/>
      <w:jc w:val="center"/>
    </w:pPr>
    <w:r>
      <w:rPr>
        <w:noProof/>
        <w:lang w:val="es-CO" w:eastAsia="es-CO"/>
      </w:rPr>
      <w:drawing>
        <wp:inline distT="0" distB="0" distL="0" distR="0">
          <wp:extent cx="2628900" cy="492125"/>
          <wp:effectExtent l="0" t="0" r="0" b="3175"/>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senado.jpg"/>
                  <pic:cNvPicPr/>
                </pic:nvPicPr>
                <pic:blipFill>
                  <a:blip r:embed="rId1">
                    <a:extLst>
                      <a:ext uri="{28A0092B-C50C-407E-A947-70E740481C1C}">
                        <a14:useLocalDpi xmlns:a14="http://schemas.microsoft.com/office/drawing/2010/main" val="0"/>
                      </a:ext>
                    </a:extLst>
                  </a:blip>
                  <a:stretch>
                    <a:fillRect/>
                  </a:stretch>
                </pic:blipFill>
                <pic:spPr>
                  <a:xfrm>
                    <a:off x="0" y="0"/>
                    <a:ext cx="2629792" cy="492292"/>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pt;height:9pt" o:bullet="t">
        <v:imagedata r:id="rId1" o:title="BD14868_"/>
      </v:shape>
    </w:pict>
  </w:numPicBullet>
  <w:abstractNum w:abstractNumId="0">
    <w:nsid w:val="023F4EBC"/>
    <w:multiLevelType w:val="multilevel"/>
    <w:tmpl w:val="EA82436A"/>
    <w:lvl w:ilvl="0">
      <w:start w:val="1"/>
      <w:numFmt w:val="bullet"/>
      <w:lvlText w:val=""/>
      <w:lvlPicBulletId w:val="0"/>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54B4914"/>
    <w:multiLevelType w:val="hybridMultilevel"/>
    <w:tmpl w:val="985EDC2E"/>
    <w:lvl w:ilvl="0" w:tplc="B02E6468">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60C3B73"/>
    <w:multiLevelType w:val="hybridMultilevel"/>
    <w:tmpl w:val="66B6F052"/>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3">
    <w:nsid w:val="06B9093B"/>
    <w:multiLevelType w:val="hybridMultilevel"/>
    <w:tmpl w:val="26A88498"/>
    <w:lvl w:ilvl="0" w:tplc="AD6A6B56">
      <w:start w:val="1"/>
      <w:numFmt w:val="decimal"/>
      <w:lvlText w:val="%1."/>
      <w:lvlJc w:val="left"/>
      <w:pPr>
        <w:ind w:left="720" w:hanging="360"/>
      </w:pPr>
      <w:rPr>
        <w:rFonts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BEC7BC5"/>
    <w:multiLevelType w:val="multilevel"/>
    <w:tmpl w:val="236A25DA"/>
    <w:lvl w:ilvl="0">
      <w:numFmt w:val="decimal"/>
      <w:lvlText w:val="%1"/>
      <w:lvlJc w:val="left"/>
      <w:pPr>
        <w:ind w:left="360" w:hanging="360"/>
      </w:pPr>
      <w:rPr>
        <w:rFonts w:hint="default"/>
      </w:rPr>
    </w:lvl>
    <w:lvl w:ilvl="1">
      <w:start w:val="5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F9756B3"/>
    <w:multiLevelType w:val="hybridMultilevel"/>
    <w:tmpl w:val="A67A1A08"/>
    <w:lvl w:ilvl="0" w:tplc="0C0A0001">
      <w:start w:val="1"/>
      <w:numFmt w:val="bullet"/>
      <w:lvlText w:val=""/>
      <w:lvlJc w:val="left"/>
      <w:pPr>
        <w:ind w:left="2484" w:hanging="360"/>
      </w:pPr>
      <w:rPr>
        <w:rFonts w:ascii="Symbol" w:hAnsi="Symbol" w:hint="default"/>
      </w:rPr>
    </w:lvl>
    <w:lvl w:ilvl="1" w:tplc="0C0A0003" w:tentative="1">
      <w:start w:val="1"/>
      <w:numFmt w:val="bullet"/>
      <w:lvlText w:val="o"/>
      <w:lvlJc w:val="left"/>
      <w:pPr>
        <w:ind w:left="3204" w:hanging="360"/>
      </w:pPr>
      <w:rPr>
        <w:rFonts w:ascii="Courier New" w:hAnsi="Courier New" w:cs="Courier New" w:hint="default"/>
      </w:rPr>
    </w:lvl>
    <w:lvl w:ilvl="2" w:tplc="0C0A0005" w:tentative="1">
      <w:start w:val="1"/>
      <w:numFmt w:val="bullet"/>
      <w:lvlText w:val=""/>
      <w:lvlJc w:val="left"/>
      <w:pPr>
        <w:ind w:left="3924" w:hanging="360"/>
      </w:pPr>
      <w:rPr>
        <w:rFonts w:ascii="Wingdings" w:hAnsi="Wingdings" w:hint="default"/>
      </w:rPr>
    </w:lvl>
    <w:lvl w:ilvl="3" w:tplc="0C0A0001" w:tentative="1">
      <w:start w:val="1"/>
      <w:numFmt w:val="bullet"/>
      <w:lvlText w:val=""/>
      <w:lvlJc w:val="left"/>
      <w:pPr>
        <w:ind w:left="4644" w:hanging="360"/>
      </w:pPr>
      <w:rPr>
        <w:rFonts w:ascii="Symbol" w:hAnsi="Symbol" w:hint="default"/>
      </w:rPr>
    </w:lvl>
    <w:lvl w:ilvl="4" w:tplc="0C0A0003" w:tentative="1">
      <w:start w:val="1"/>
      <w:numFmt w:val="bullet"/>
      <w:lvlText w:val="o"/>
      <w:lvlJc w:val="left"/>
      <w:pPr>
        <w:ind w:left="5364" w:hanging="360"/>
      </w:pPr>
      <w:rPr>
        <w:rFonts w:ascii="Courier New" w:hAnsi="Courier New" w:cs="Courier New" w:hint="default"/>
      </w:rPr>
    </w:lvl>
    <w:lvl w:ilvl="5" w:tplc="0C0A0005" w:tentative="1">
      <w:start w:val="1"/>
      <w:numFmt w:val="bullet"/>
      <w:lvlText w:val=""/>
      <w:lvlJc w:val="left"/>
      <w:pPr>
        <w:ind w:left="6084" w:hanging="360"/>
      </w:pPr>
      <w:rPr>
        <w:rFonts w:ascii="Wingdings" w:hAnsi="Wingdings" w:hint="default"/>
      </w:rPr>
    </w:lvl>
    <w:lvl w:ilvl="6" w:tplc="0C0A0001" w:tentative="1">
      <w:start w:val="1"/>
      <w:numFmt w:val="bullet"/>
      <w:lvlText w:val=""/>
      <w:lvlJc w:val="left"/>
      <w:pPr>
        <w:ind w:left="6804" w:hanging="360"/>
      </w:pPr>
      <w:rPr>
        <w:rFonts w:ascii="Symbol" w:hAnsi="Symbol" w:hint="default"/>
      </w:rPr>
    </w:lvl>
    <w:lvl w:ilvl="7" w:tplc="0C0A0003" w:tentative="1">
      <w:start w:val="1"/>
      <w:numFmt w:val="bullet"/>
      <w:lvlText w:val="o"/>
      <w:lvlJc w:val="left"/>
      <w:pPr>
        <w:ind w:left="7524" w:hanging="360"/>
      </w:pPr>
      <w:rPr>
        <w:rFonts w:ascii="Courier New" w:hAnsi="Courier New" w:cs="Courier New" w:hint="default"/>
      </w:rPr>
    </w:lvl>
    <w:lvl w:ilvl="8" w:tplc="0C0A0005" w:tentative="1">
      <w:start w:val="1"/>
      <w:numFmt w:val="bullet"/>
      <w:lvlText w:val=""/>
      <w:lvlJc w:val="left"/>
      <w:pPr>
        <w:ind w:left="8244" w:hanging="360"/>
      </w:pPr>
      <w:rPr>
        <w:rFonts w:ascii="Wingdings" w:hAnsi="Wingdings" w:hint="default"/>
      </w:rPr>
    </w:lvl>
  </w:abstractNum>
  <w:abstractNum w:abstractNumId="6">
    <w:nsid w:val="13CE7DA9"/>
    <w:multiLevelType w:val="hybridMultilevel"/>
    <w:tmpl w:val="9FAAAF9C"/>
    <w:lvl w:ilvl="0" w:tplc="560C7AFC">
      <w:start w:val="1"/>
      <w:numFmt w:val="lowerLetter"/>
      <w:lvlText w:val="%1."/>
      <w:lvlJc w:val="left"/>
      <w:pPr>
        <w:ind w:left="928" w:hanging="360"/>
      </w:pPr>
      <w:rPr>
        <w:rFonts w:hint="default"/>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7">
    <w:nsid w:val="14B33BEC"/>
    <w:multiLevelType w:val="hybridMultilevel"/>
    <w:tmpl w:val="360E4596"/>
    <w:lvl w:ilvl="0" w:tplc="009471FA">
      <w:start w:val="1"/>
      <w:numFmt w:val="bullet"/>
      <w:lvlText w:val=""/>
      <w:lvlJc w:val="left"/>
      <w:pPr>
        <w:tabs>
          <w:tab w:val="num" w:pos="360"/>
        </w:tabs>
        <w:ind w:left="360" w:hanging="360"/>
      </w:pPr>
      <w:rPr>
        <w:rFonts w:ascii="Wingdings" w:hAnsi="Wingdings" w:hint="default"/>
        <w:lang w:val="es-UY"/>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8">
    <w:nsid w:val="18145E93"/>
    <w:multiLevelType w:val="hybridMultilevel"/>
    <w:tmpl w:val="B1ACA5B0"/>
    <w:lvl w:ilvl="0" w:tplc="BE704698">
      <w:start w:val="1"/>
      <w:numFmt w:val="decimal"/>
      <w:lvlText w:val="%1."/>
      <w:lvlJc w:val="left"/>
      <w:pPr>
        <w:tabs>
          <w:tab w:val="num" w:pos="720"/>
        </w:tabs>
        <w:ind w:left="720" w:hanging="360"/>
      </w:pPr>
      <w:rPr>
        <w:rFonts w:hint="default"/>
        <w:b/>
      </w:rPr>
    </w:lvl>
    <w:lvl w:ilvl="1" w:tplc="B6182FBC">
      <w:numFmt w:val="none"/>
      <w:lvlText w:val=""/>
      <w:lvlJc w:val="left"/>
      <w:pPr>
        <w:tabs>
          <w:tab w:val="num" w:pos="360"/>
        </w:tabs>
      </w:pPr>
    </w:lvl>
    <w:lvl w:ilvl="2" w:tplc="87263152">
      <w:numFmt w:val="none"/>
      <w:lvlText w:val=""/>
      <w:lvlJc w:val="left"/>
      <w:pPr>
        <w:tabs>
          <w:tab w:val="num" w:pos="360"/>
        </w:tabs>
      </w:pPr>
    </w:lvl>
    <w:lvl w:ilvl="3" w:tplc="A2FE7C60">
      <w:numFmt w:val="none"/>
      <w:lvlText w:val=""/>
      <w:lvlJc w:val="left"/>
      <w:pPr>
        <w:tabs>
          <w:tab w:val="num" w:pos="360"/>
        </w:tabs>
      </w:pPr>
    </w:lvl>
    <w:lvl w:ilvl="4" w:tplc="160A0058">
      <w:numFmt w:val="none"/>
      <w:lvlText w:val=""/>
      <w:lvlJc w:val="left"/>
      <w:pPr>
        <w:tabs>
          <w:tab w:val="num" w:pos="360"/>
        </w:tabs>
      </w:pPr>
    </w:lvl>
    <w:lvl w:ilvl="5" w:tplc="725CC798">
      <w:numFmt w:val="none"/>
      <w:lvlText w:val=""/>
      <w:lvlJc w:val="left"/>
      <w:pPr>
        <w:tabs>
          <w:tab w:val="num" w:pos="360"/>
        </w:tabs>
      </w:pPr>
    </w:lvl>
    <w:lvl w:ilvl="6" w:tplc="9F167F36">
      <w:numFmt w:val="none"/>
      <w:lvlText w:val=""/>
      <w:lvlJc w:val="left"/>
      <w:pPr>
        <w:tabs>
          <w:tab w:val="num" w:pos="360"/>
        </w:tabs>
      </w:pPr>
    </w:lvl>
    <w:lvl w:ilvl="7" w:tplc="AC48D02A">
      <w:numFmt w:val="none"/>
      <w:lvlText w:val=""/>
      <w:lvlJc w:val="left"/>
      <w:pPr>
        <w:tabs>
          <w:tab w:val="num" w:pos="360"/>
        </w:tabs>
      </w:pPr>
    </w:lvl>
    <w:lvl w:ilvl="8" w:tplc="537C4D1A">
      <w:numFmt w:val="none"/>
      <w:lvlText w:val=""/>
      <w:lvlJc w:val="left"/>
      <w:pPr>
        <w:tabs>
          <w:tab w:val="num" w:pos="360"/>
        </w:tabs>
      </w:pPr>
    </w:lvl>
  </w:abstractNum>
  <w:abstractNum w:abstractNumId="9">
    <w:nsid w:val="1CFD4C1B"/>
    <w:multiLevelType w:val="hybridMultilevel"/>
    <w:tmpl w:val="FB8485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1160AFD"/>
    <w:multiLevelType w:val="hybridMultilevel"/>
    <w:tmpl w:val="B6600372"/>
    <w:lvl w:ilvl="0" w:tplc="A0126D36">
      <w:start w:val="1"/>
      <w:numFmt w:val="lowerLetter"/>
      <w:lvlText w:val="%1)"/>
      <w:lvlJc w:val="left"/>
      <w:pPr>
        <w:ind w:left="360" w:hanging="360"/>
      </w:pPr>
      <w:rPr>
        <w:rFonts w:hint="default"/>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nsid w:val="2635666F"/>
    <w:multiLevelType w:val="hybridMultilevel"/>
    <w:tmpl w:val="E03027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D4A21F2"/>
    <w:multiLevelType w:val="hybridMultilevel"/>
    <w:tmpl w:val="B5D2C3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5AD7664"/>
    <w:multiLevelType w:val="hybridMultilevel"/>
    <w:tmpl w:val="26A88498"/>
    <w:lvl w:ilvl="0" w:tplc="AD6A6B56">
      <w:start w:val="1"/>
      <w:numFmt w:val="decimal"/>
      <w:lvlText w:val="%1."/>
      <w:lvlJc w:val="left"/>
      <w:pPr>
        <w:ind w:left="720" w:hanging="360"/>
      </w:pPr>
      <w:rPr>
        <w:rFonts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39BE004C"/>
    <w:multiLevelType w:val="hybridMultilevel"/>
    <w:tmpl w:val="3C805A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3C1C4F78"/>
    <w:multiLevelType w:val="hybridMultilevel"/>
    <w:tmpl w:val="0CD0F5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3C4D1D63"/>
    <w:multiLevelType w:val="multilevel"/>
    <w:tmpl w:val="11AEB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CA42242"/>
    <w:multiLevelType w:val="multilevel"/>
    <w:tmpl w:val="006ECF0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E0E67A8"/>
    <w:multiLevelType w:val="hybridMultilevel"/>
    <w:tmpl w:val="D550F1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3EE0505E"/>
    <w:multiLevelType w:val="hybridMultilevel"/>
    <w:tmpl w:val="DC38D054"/>
    <w:lvl w:ilvl="0" w:tplc="0C0A0013">
      <w:start w:val="1"/>
      <w:numFmt w:val="upperRoman"/>
      <w:lvlText w:val="%1."/>
      <w:lvlJc w:val="right"/>
      <w:pPr>
        <w:ind w:left="2136" w:hanging="360"/>
      </w:p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20">
    <w:nsid w:val="42C07473"/>
    <w:multiLevelType w:val="hybridMultilevel"/>
    <w:tmpl w:val="5DF01D2A"/>
    <w:lvl w:ilvl="0" w:tplc="FFFFFFFF">
      <w:numFmt w:val="bullet"/>
      <w:lvlText w:val=""/>
      <w:lvlJc w:val="left"/>
      <w:pPr>
        <w:tabs>
          <w:tab w:val="num" w:pos="465"/>
        </w:tabs>
        <w:ind w:left="465" w:hanging="465"/>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46C06AB2"/>
    <w:multiLevelType w:val="hybridMultilevel"/>
    <w:tmpl w:val="DDEC44C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49FC0B6B"/>
    <w:multiLevelType w:val="hybridMultilevel"/>
    <w:tmpl w:val="69567944"/>
    <w:lvl w:ilvl="0" w:tplc="0C0A0009">
      <w:start w:val="1"/>
      <w:numFmt w:val="bullet"/>
      <w:lvlText w:val=""/>
      <w:lvlJc w:val="left"/>
      <w:pPr>
        <w:tabs>
          <w:tab w:val="num" w:pos="720"/>
        </w:tabs>
        <w:ind w:left="720"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4A6703F0"/>
    <w:multiLevelType w:val="hybridMultilevel"/>
    <w:tmpl w:val="F01C267C"/>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4B3609CD"/>
    <w:multiLevelType w:val="hybridMultilevel"/>
    <w:tmpl w:val="F51A9C5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502734AE"/>
    <w:multiLevelType w:val="hybridMultilevel"/>
    <w:tmpl w:val="8EC24B8A"/>
    <w:lvl w:ilvl="0" w:tplc="0C0A0001">
      <w:start w:val="1"/>
      <w:numFmt w:val="bullet"/>
      <w:lvlText w:val=""/>
      <w:lvlJc w:val="left"/>
      <w:pPr>
        <w:ind w:left="2844" w:hanging="360"/>
      </w:pPr>
      <w:rPr>
        <w:rFonts w:ascii="Symbol" w:hAnsi="Symbol" w:hint="default"/>
      </w:rPr>
    </w:lvl>
    <w:lvl w:ilvl="1" w:tplc="0C0A0003" w:tentative="1">
      <w:start w:val="1"/>
      <w:numFmt w:val="bullet"/>
      <w:lvlText w:val="o"/>
      <w:lvlJc w:val="left"/>
      <w:pPr>
        <w:ind w:left="3564" w:hanging="360"/>
      </w:pPr>
      <w:rPr>
        <w:rFonts w:ascii="Courier New" w:hAnsi="Courier New" w:cs="Courier New" w:hint="default"/>
      </w:rPr>
    </w:lvl>
    <w:lvl w:ilvl="2" w:tplc="0C0A0005" w:tentative="1">
      <w:start w:val="1"/>
      <w:numFmt w:val="bullet"/>
      <w:lvlText w:val=""/>
      <w:lvlJc w:val="left"/>
      <w:pPr>
        <w:ind w:left="4284" w:hanging="360"/>
      </w:pPr>
      <w:rPr>
        <w:rFonts w:ascii="Wingdings" w:hAnsi="Wingdings" w:hint="default"/>
      </w:rPr>
    </w:lvl>
    <w:lvl w:ilvl="3" w:tplc="0C0A0001" w:tentative="1">
      <w:start w:val="1"/>
      <w:numFmt w:val="bullet"/>
      <w:lvlText w:val=""/>
      <w:lvlJc w:val="left"/>
      <w:pPr>
        <w:ind w:left="5004" w:hanging="360"/>
      </w:pPr>
      <w:rPr>
        <w:rFonts w:ascii="Symbol" w:hAnsi="Symbol" w:hint="default"/>
      </w:rPr>
    </w:lvl>
    <w:lvl w:ilvl="4" w:tplc="0C0A0003" w:tentative="1">
      <w:start w:val="1"/>
      <w:numFmt w:val="bullet"/>
      <w:lvlText w:val="o"/>
      <w:lvlJc w:val="left"/>
      <w:pPr>
        <w:ind w:left="5724" w:hanging="360"/>
      </w:pPr>
      <w:rPr>
        <w:rFonts w:ascii="Courier New" w:hAnsi="Courier New" w:cs="Courier New" w:hint="default"/>
      </w:rPr>
    </w:lvl>
    <w:lvl w:ilvl="5" w:tplc="0C0A0005" w:tentative="1">
      <w:start w:val="1"/>
      <w:numFmt w:val="bullet"/>
      <w:lvlText w:val=""/>
      <w:lvlJc w:val="left"/>
      <w:pPr>
        <w:ind w:left="6444" w:hanging="360"/>
      </w:pPr>
      <w:rPr>
        <w:rFonts w:ascii="Wingdings" w:hAnsi="Wingdings" w:hint="default"/>
      </w:rPr>
    </w:lvl>
    <w:lvl w:ilvl="6" w:tplc="0C0A0001" w:tentative="1">
      <w:start w:val="1"/>
      <w:numFmt w:val="bullet"/>
      <w:lvlText w:val=""/>
      <w:lvlJc w:val="left"/>
      <w:pPr>
        <w:ind w:left="7164" w:hanging="360"/>
      </w:pPr>
      <w:rPr>
        <w:rFonts w:ascii="Symbol" w:hAnsi="Symbol" w:hint="default"/>
      </w:rPr>
    </w:lvl>
    <w:lvl w:ilvl="7" w:tplc="0C0A0003" w:tentative="1">
      <w:start w:val="1"/>
      <w:numFmt w:val="bullet"/>
      <w:lvlText w:val="o"/>
      <w:lvlJc w:val="left"/>
      <w:pPr>
        <w:ind w:left="7884" w:hanging="360"/>
      </w:pPr>
      <w:rPr>
        <w:rFonts w:ascii="Courier New" w:hAnsi="Courier New" w:cs="Courier New" w:hint="default"/>
      </w:rPr>
    </w:lvl>
    <w:lvl w:ilvl="8" w:tplc="0C0A0005" w:tentative="1">
      <w:start w:val="1"/>
      <w:numFmt w:val="bullet"/>
      <w:lvlText w:val=""/>
      <w:lvlJc w:val="left"/>
      <w:pPr>
        <w:ind w:left="8604" w:hanging="360"/>
      </w:pPr>
      <w:rPr>
        <w:rFonts w:ascii="Wingdings" w:hAnsi="Wingdings" w:hint="default"/>
      </w:rPr>
    </w:lvl>
  </w:abstractNum>
  <w:abstractNum w:abstractNumId="26">
    <w:nsid w:val="52AE2664"/>
    <w:multiLevelType w:val="hybridMultilevel"/>
    <w:tmpl w:val="11CACD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556A7EDD"/>
    <w:multiLevelType w:val="multilevel"/>
    <w:tmpl w:val="6F768254"/>
    <w:lvl w:ilvl="0">
      <w:start w:val="3"/>
      <w:numFmt w:val="decimal"/>
      <w:lvlText w:val="%1.0"/>
      <w:lvlJc w:val="left"/>
      <w:pPr>
        <w:ind w:left="720" w:hanging="360"/>
      </w:pPr>
      <w:rPr>
        <w:rFonts w:hint="default"/>
        <w:b/>
      </w:rPr>
    </w:lvl>
    <w:lvl w:ilvl="1">
      <w:start w:val="1"/>
      <w:numFmt w:val="decimal"/>
      <w:lvlText w:val="%1.%2"/>
      <w:lvlJc w:val="left"/>
      <w:pPr>
        <w:ind w:left="1428" w:hanging="360"/>
      </w:pPr>
      <w:rPr>
        <w:rFonts w:hint="default"/>
        <w:b/>
      </w:rPr>
    </w:lvl>
    <w:lvl w:ilvl="2">
      <w:start w:val="1"/>
      <w:numFmt w:val="decimal"/>
      <w:lvlText w:val="%1.%2.%3"/>
      <w:lvlJc w:val="left"/>
      <w:pPr>
        <w:ind w:left="2496" w:hanging="720"/>
      </w:pPr>
      <w:rPr>
        <w:rFonts w:hint="default"/>
        <w:b/>
      </w:rPr>
    </w:lvl>
    <w:lvl w:ilvl="3">
      <w:start w:val="1"/>
      <w:numFmt w:val="decimal"/>
      <w:lvlText w:val="%1.%2.%3.%4"/>
      <w:lvlJc w:val="left"/>
      <w:pPr>
        <w:ind w:left="3564" w:hanging="1080"/>
      </w:pPr>
      <w:rPr>
        <w:rFonts w:hint="default"/>
        <w:b/>
      </w:rPr>
    </w:lvl>
    <w:lvl w:ilvl="4">
      <w:start w:val="1"/>
      <w:numFmt w:val="decimal"/>
      <w:lvlText w:val="%1.%2.%3.%4.%5"/>
      <w:lvlJc w:val="left"/>
      <w:pPr>
        <w:ind w:left="4272" w:hanging="1080"/>
      </w:pPr>
      <w:rPr>
        <w:rFonts w:hint="default"/>
        <w:b/>
      </w:rPr>
    </w:lvl>
    <w:lvl w:ilvl="5">
      <w:start w:val="1"/>
      <w:numFmt w:val="decimal"/>
      <w:lvlText w:val="%1.%2.%3.%4.%5.%6"/>
      <w:lvlJc w:val="left"/>
      <w:pPr>
        <w:ind w:left="5340" w:hanging="1440"/>
      </w:pPr>
      <w:rPr>
        <w:rFonts w:hint="default"/>
        <w:b/>
      </w:rPr>
    </w:lvl>
    <w:lvl w:ilvl="6">
      <w:start w:val="1"/>
      <w:numFmt w:val="decimal"/>
      <w:lvlText w:val="%1.%2.%3.%4.%5.%6.%7"/>
      <w:lvlJc w:val="left"/>
      <w:pPr>
        <w:ind w:left="6048" w:hanging="1440"/>
      </w:pPr>
      <w:rPr>
        <w:rFonts w:hint="default"/>
        <w:b/>
      </w:rPr>
    </w:lvl>
    <w:lvl w:ilvl="7">
      <w:start w:val="1"/>
      <w:numFmt w:val="decimal"/>
      <w:lvlText w:val="%1.%2.%3.%4.%5.%6.%7.%8"/>
      <w:lvlJc w:val="left"/>
      <w:pPr>
        <w:ind w:left="7116" w:hanging="1800"/>
      </w:pPr>
      <w:rPr>
        <w:rFonts w:hint="default"/>
        <w:b/>
      </w:rPr>
    </w:lvl>
    <w:lvl w:ilvl="8">
      <w:start w:val="1"/>
      <w:numFmt w:val="decimal"/>
      <w:lvlText w:val="%1.%2.%3.%4.%5.%6.%7.%8.%9"/>
      <w:lvlJc w:val="left"/>
      <w:pPr>
        <w:ind w:left="7824" w:hanging="1800"/>
      </w:pPr>
      <w:rPr>
        <w:rFonts w:hint="default"/>
        <w:b/>
      </w:rPr>
    </w:lvl>
  </w:abstractNum>
  <w:abstractNum w:abstractNumId="28">
    <w:nsid w:val="58EE5A95"/>
    <w:multiLevelType w:val="hybridMultilevel"/>
    <w:tmpl w:val="7D1E78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5B11672F"/>
    <w:multiLevelType w:val="hybridMultilevel"/>
    <w:tmpl w:val="7CB0F2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5D0010AE"/>
    <w:multiLevelType w:val="hybridMultilevel"/>
    <w:tmpl w:val="3E1AFD4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nsid w:val="5FB32588"/>
    <w:multiLevelType w:val="hybridMultilevel"/>
    <w:tmpl w:val="21844694"/>
    <w:lvl w:ilvl="0" w:tplc="0C0A0013">
      <w:start w:val="1"/>
      <w:numFmt w:val="upperRoman"/>
      <w:lvlText w:val="%1."/>
      <w:lvlJc w:val="righ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2">
    <w:nsid w:val="5FE36125"/>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3">
    <w:nsid w:val="634F09BC"/>
    <w:multiLevelType w:val="hybridMultilevel"/>
    <w:tmpl w:val="27D68D22"/>
    <w:lvl w:ilvl="0" w:tplc="0C0A0001">
      <w:start w:val="1"/>
      <w:numFmt w:val="bullet"/>
      <w:lvlText w:val=""/>
      <w:lvlJc w:val="left"/>
      <w:pPr>
        <w:ind w:left="2484" w:hanging="360"/>
      </w:pPr>
      <w:rPr>
        <w:rFonts w:ascii="Symbol" w:hAnsi="Symbol" w:hint="default"/>
      </w:rPr>
    </w:lvl>
    <w:lvl w:ilvl="1" w:tplc="0C0A0003" w:tentative="1">
      <w:start w:val="1"/>
      <w:numFmt w:val="bullet"/>
      <w:lvlText w:val="o"/>
      <w:lvlJc w:val="left"/>
      <w:pPr>
        <w:ind w:left="3204" w:hanging="360"/>
      </w:pPr>
      <w:rPr>
        <w:rFonts w:ascii="Courier New" w:hAnsi="Courier New" w:cs="Courier New" w:hint="default"/>
      </w:rPr>
    </w:lvl>
    <w:lvl w:ilvl="2" w:tplc="0C0A0005" w:tentative="1">
      <w:start w:val="1"/>
      <w:numFmt w:val="bullet"/>
      <w:lvlText w:val=""/>
      <w:lvlJc w:val="left"/>
      <w:pPr>
        <w:ind w:left="3924" w:hanging="360"/>
      </w:pPr>
      <w:rPr>
        <w:rFonts w:ascii="Wingdings" w:hAnsi="Wingdings" w:hint="default"/>
      </w:rPr>
    </w:lvl>
    <w:lvl w:ilvl="3" w:tplc="0C0A0001" w:tentative="1">
      <w:start w:val="1"/>
      <w:numFmt w:val="bullet"/>
      <w:lvlText w:val=""/>
      <w:lvlJc w:val="left"/>
      <w:pPr>
        <w:ind w:left="4644" w:hanging="360"/>
      </w:pPr>
      <w:rPr>
        <w:rFonts w:ascii="Symbol" w:hAnsi="Symbol" w:hint="default"/>
      </w:rPr>
    </w:lvl>
    <w:lvl w:ilvl="4" w:tplc="0C0A0003" w:tentative="1">
      <w:start w:val="1"/>
      <w:numFmt w:val="bullet"/>
      <w:lvlText w:val="o"/>
      <w:lvlJc w:val="left"/>
      <w:pPr>
        <w:ind w:left="5364" w:hanging="360"/>
      </w:pPr>
      <w:rPr>
        <w:rFonts w:ascii="Courier New" w:hAnsi="Courier New" w:cs="Courier New" w:hint="default"/>
      </w:rPr>
    </w:lvl>
    <w:lvl w:ilvl="5" w:tplc="0C0A0005" w:tentative="1">
      <w:start w:val="1"/>
      <w:numFmt w:val="bullet"/>
      <w:lvlText w:val=""/>
      <w:lvlJc w:val="left"/>
      <w:pPr>
        <w:ind w:left="6084" w:hanging="360"/>
      </w:pPr>
      <w:rPr>
        <w:rFonts w:ascii="Wingdings" w:hAnsi="Wingdings" w:hint="default"/>
      </w:rPr>
    </w:lvl>
    <w:lvl w:ilvl="6" w:tplc="0C0A0001" w:tentative="1">
      <w:start w:val="1"/>
      <w:numFmt w:val="bullet"/>
      <w:lvlText w:val=""/>
      <w:lvlJc w:val="left"/>
      <w:pPr>
        <w:ind w:left="6804" w:hanging="360"/>
      </w:pPr>
      <w:rPr>
        <w:rFonts w:ascii="Symbol" w:hAnsi="Symbol" w:hint="default"/>
      </w:rPr>
    </w:lvl>
    <w:lvl w:ilvl="7" w:tplc="0C0A0003" w:tentative="1">
      <w:start w:val="1"/>
      <w:numFmt w:val="bullet"/>
      <w:lvlText w:val="o"/>
      <w:lvlJc w:val="left"/>
      <w:pPr>
        <w:ind w:left="7524" w:hanging="360"/>
      </w:pPr>
      <w:rPr>
        <w:rFonts w:ascii="Courier New" w:hAnsi="Courier New" w:cs="Courier New" w:hint="default"/>
      </w:rPr>
    </w:lvl>
    <w:lvl w:ilvl="8" w:tplc="0C0A0005" w:tentative="1">
      <w:start w:val="1"/>
      <w:numFmt w:val="bullet"/>
      <w:lvlText w:val=""/>
      <w:lvlJc w:val="left"/>
      <w:pPr>
        <w:ind w:left="8244" w:hanging="360"/>
      </w:pPr>
      <w:rPr>
        <w:rFonts w:ascii="Wingdings" w:hAnsi="Wingdings" w:hint="default"/>
      </w:rPr>
    </w:lvl>
  </w:abstractNum>
  <w:abstractNum w:abstractNumId="34">
    <w:nsid w:val="64B968CC"/>
    <w:multiLevelType w:val="hybridMultilevel"/>
    <w:tmpl w:val="473E9F24"/>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671F5ACA"/>
    <w:multiLevelType w:val="multilevel"/>
    <w:tmpl w:val="88C0A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BF42B96"/>
    <w:multiLevelType w:val="hybridMultilevel"/>
    <w:tmpl w:val="96F0FFB2"/>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6E464749"/>
    <w:multiLevelType w:val="hybridMultilevel"/>
    <w:tmpl w:val="F91C6A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nsid w:val="6E7E35E8"/>
    <w:multiLevelType w:val="hybridMultilevel"/>
    <w:tmpl w:val="C2163BE0"/>
    <w:lvl w:ilvl="0" w:tplc="0C0A000F">
      <w:start w:val="1"/>
      <w:numFmt w:val="decimal"/>
      <w:lvlText w:val="%1."/>
      <w:lvlJc w:val="left"/>
      <w:pPr>
        <w:ind w:left="774" w:hanging="360"/>
      </w:pPr>
    </w:lvl>
    <w:lvl w:ilvl="1" w:tplc="0C0A0013">
      <w:start w:val="1"/>
      <w:numFmt w:val="upperRoman"/>
      <w:lvlText w:val="%2."/>
      <w:lvlJc w:val="right"/>
      <w:pPr>
        <w:ind w:left="1494" w:hanging="360"/>
      </w:pPr>
    </w:lvl>
    <w:lvl w:ilvl="2" w:tplc="0C0A001B" w:tentative="1">
      <w:start w:val="1"/>
      <w:numFmt w:val="lowerRoman"/>
      <w:lvlText w:val="%3."/>
      <w:lvlJc w:val="right"/>
      <w:pPr>
        <w:ind w:left="2214" w:hanging="180"/>
      </w:pPr>
    </w:lvl>
    <w:lvl w:ilvl="3" w:tplc="0C0A000F" w:tentative="1">
      <w:start w:val="1"/>
      <w:numFmt w:val="decimal"/>
      <w:lvlText w:val="%4."/>
      <w:lvlJc w:val="left"/>
      <w:pPr>
        <w:ind w:left="2934" w:hanging="360"/>
      </w:pPr>
    </w:lvl>
    <w:lvl w:ilvl="4" w:tplc="0C0A0019" w:tentative="1">
      <w:start w:val="1"/>
      <w:numFmt w:val="lowerLetter"/>
      <w:lvlText w:val="%5."/>
      <w:lvlJc w:val="left"/>
      <w:pPr>
        <w:ind w:left="3654" w:hanging="360"/>
      </w:pPr>
    </w:lvl>
    <w:lvl w:ilvl="5" w:tplc="0C0A001B" w:tentative="1">
      <w:start w:val="1"/>
      <w:numFmt w:val="lowerRoman"/>
      <w:lvlText w:val="%6."/>
      <w:lvlJc w:val="right"/>
      <w:pPr>
        <w:ind w:left="4374" w:hanging="180"/>
      </w:pPr>
    </w:lvl>
    <w:lvl w:ilvl="6" w:tplc="0C0A000F" w:tentative="1">
      <w:start w:val="1"/>
      <w:numFmt w:val="decimal"/>
      <w:lvlText w:val="%7."/>
      <w:lvlJc w:val="left"/>
      <w:pPr>
        <w:ind w:left="5094" w:hanging="360"/>
      </w:pPr>
    </w:lvl>
    <w:lvl w:ilvl="7" w:tplc="0C0A0019" w:tentative="1">
      <w:start w:val="1"/>
      <w:numFmt w:val="lowerLetter"/>
      <w:lvlText w:val="%8."/>
      <w:lvlJc w:val="left"/>
      <w:pPr>
        <w:ind w:left="5814" w:hanging="360"/>
      </w:pPr>
    </w:lvl>
    <w:lvl w:ilvl="8" w:tplc="0C0A001B" w:tentative="1">
      <w:start w:val="1"/>
      <w:numFmt w:val="lowerRoman"/>
      <w:lvlText w:val="%9."/>
      <w:lvlJc w:val="right"/>
      <w:pPr>
        <w:ind w:left="6534" w:hanging="180"/>
      </w:pPr>
    </w:lvl>
  </w:abstractNum>
  <w:abstractNum w:abstractNumId="39">
    <w:nsid w:val="6F196812"/>
    <w:multiLevelType w:val="multilevel"/>
    <w:tmpl w:val="B5F87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0F546CA"/>
    <w:multiLevelType w:val="hybridMultilevel"/>
    <w:tmpl w:val="EA82436A"/>
    <w:lvl w:ilvl="0" w:tplc="D2A23250">
      <w:start w:val="1"/>
      <w:numFmt w:val="bullet"/>
      <w:lvlText w:val=""/>
      <w:lvlPicBulletId w:val="0"/>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nsid w:val="71093696"/>
    <w:multiLevelType w:val="hybridMultilevel"/>
    <w:tmpl w:val="26A88498"/>
    <w:lvl w:ilvl="0" w:tplc="AD6A6B56">
      <w:start w:val="1"/>
      <w:numFmt w:val="decimal"/>
      <w:lvlText w:val="%1."/>
      <w:lvlJc w:val="left"/>
      <w:pPr>
        <w:ind w:left="720" w:hanging="360"/>
      </w:pPr>
      <w:rPr>
        <w:rFonts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718A1617"/>
    <w:multiLevelType w:val="hybridMultilevel"/>
    <w:tmpl w:val="F25E9948"/>
    <w:lvl w:ilvl="0" w:tplc="8D00ADD2">
      <w:start w:val="1"/>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724E7DEC"/>
    <w:multiLevelType w:val="multilevel"/>
    <w:tmpl w:val="F6A4AC4C"/>
    <w:lvl w:ilvl="0">
      <w:start w:val="3"/>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b/>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7A0E32E2"/>
    <w:multiLevelType w:val="hybridMultilevel"/>
    <w:tmpl w:val="7D4AED9C"/>
    <w:lvl w:ilvl="0" w:tplc="0C0A0001">
      <w:start w:val="1"/>
      <w:numFmt w:val="bullet"/>
      <w:lvlText w:val=""/>
      <w:lvlJc w:val="left"/>
      <w:pPr>
        <w:ind w:left="2844" w:hanging="360"/>
      </w:pPr>
      <w:rPr>
        <w:rFonts w:ascii="Symbol" w:hAnsi="Symbol" w:hint="default"/>
      </w:rPr>
    </w:lvl>
    <w:lvl w:ilvl="1" w:tplc="0C0A0003" w:tentative="1">
      <w:start w:val="1"/>
      <w:numFmt w:val="bullet"/>
      <w:lvlText w:val="o"/>
      <w:lvlJc w:val="left"/>
      <w:pPr>
        <w:ind w:left="3564" w:hanging="360"/>
      </w:pPr>
      <w:rPr>
        <w:rFonts w:ascii="Courier New" w:hAnsi="Courier New" w:cs="Courier New" w:hint="default"/>
      </w:rPr>
    </w:lvl>
    <w:lvl w:ilvl="2" w:tplc="0C0A0005" w:tentative="1">
      <w:start w:val="1"/>
      <w:numFmt w:val="bullet"/>
      <w:lvlText w:val=""/>
      <w:lvlJc w:val="left"/>
      <w:pPr>
        <w:ind w:left="4284" w:hanging="360"/>
      </w:pPr>
      <w:rPr>
        <w:rFonts w:ascii="Wingdings" w:hAnsi="Wingdings" w:hint="default"/>
      </w:rPr>
    </w:lvl>
    <w:lvl w:ilvl="3" w:tplc="0C0A0001" w:tentative="1">
      <w:start w:val="1"/>
      <w:numFmt w:val="bullet"/>
      <w:lvlText w:val=""/>
      <w:lvlJc w:val="left"/>
      <w:pPr>
        <w:ind w:left="5004" w:hanging="360"/>
      </w:pPr>
      <w:rPr>
        <w:rFonts w:ascii="Symbol" w:hAnsi="Symbol" w:hint="default"/>
      </w:rPr>
    </w:lvl>
    <w:lvl w:ilvl="4" w:tplc="0C0A0003" w:tentative="1">
      <w:start w:val="1"/>
      <w:numFmt w:val="bullet"/>
      <w:lvlText w:val="o"/>
      <w:lvlJc w:val="left"/>
      <w:pPr>
        <w:ind w:left="5724" w:hanging="360"/>
      </w:pPr>
      <w:rPr>
        <w:rFonts w:ascii="Courier New" w:hAnsi="Courier New" w:cs="Courier New" w:hint="default"/>
      </w:rPr>
    </w:lvl>
    <w:lvl w:ilvl="5" w:tplc="0C0A0005" w:tentative="1">
      <w:start w:val="1"/>
      <w:numFmt w:val="bullet"/>
      <w:lvlText w:val=""/>
      <w:lvlJc w:val="left"/>
      <w:pPr>
        <w:ind w:left="6444" w:hanging="360"/>
      </w:pPr>
      <w:rPr>
        <w:rFonts w:ascii="Wingdings" w:hAnsi="Wingdings" w:hint="default"/>
      </w:rPr>
    </w:lvl>
    <w:lvl w:ilvl="6" w:tplc="0C0A0001" w:tentative="1">
      <w:start w:val="1"/>
      <w:numFmt w:val="bullet"/>
      <w:lvlText w:val=""/>
      <w:lvlJc w:val="left"/>
      <w:pPr>
        <w:ind w:left="7164" w:hanging="360"/>
      </w:pPr>
      <w:rPr>
        <w:rFonts w:ascii="Symbol" w:hAnsi="Symbol" w:hint="default"/>
      </w:rPr>
    </w:lvl>
    <w:lvl w:ilvl="7" w:tplc="0C0A0003" w:tentative="1">
      <w:start w:val="1"/>
      <w:numFmt w:val="bullet"/>
      <w:lvlText w:val="o"/>
      <w:lvlJc w:val="left"/>
      <w:pPr>
        <w:ind w:left="7884" w:hanging="360"/>
      </w:pPr>
      <w:rPr>
        <w:rFonts w:ascii="Courier New" w:hAnsi="Courier New" w:cs="Courier New" w:hint="default"/>
      </w:rPr>
    </w:lvl>
    <w:lvl w:ilvl="8" w:tplc="0C0A0005" w:tentative="1">
      <w:start w:val="1"/>
      <w:numFmt w:val="bullet"/>
      <w:lvlText w:val=""/>
      <w:lvlJc w:val="left"/>
      <w:pPr>
        <w:ind w:left="8604" w:hanging="360"/>
      </w:pPr>
      <w:rPr>
        <w:rFonts w:ascii="Wingdings" w:hAnsi="Wingdings" w:hint="default"/>
      </w:rPr>
    </w:lvl>
  </w:abstractNum>
  <w:abstractNum w:abstractNumId="45">
    <w:nsid w:val="7BE5462B"/>
    <w:multiLevelType w:val="hybridMultilevel"/>
    <w:tmpl w:val="2A5EDE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nsid w:val="7BEA1A46"/>
    <w:multiLevelType w:val="hybridMultilevel"/>
    <w:tmpl w:val="34A629D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
    <w:nsid w:val="7CC01D5D"/>
    <w:multiLevelType w:val="multilevel"/>
    <w:tmpl w:val="7786DB8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8"/>
  </w:num>
  <w:num w:numId="2">
    <w:abstractNumId w:val="44"/>
  </w:num>
  <w:num w:numId="3">
    <w:abstractNumId w:val="31"/>
  </w:num>
  <w:num w:numId="4">
    <w:abstractNumId w:val="19"/>
  </w:num>
  <w:num w:numId="5">
    <w:abstractNumId w:val="25"/>
  </w:num>
  <w:num w:numId="6">
    <w:abstractNumId w:val="33"/>
  </w:num>
  <w:num w:numId="7">
    <w:abstractNumId w:val="5"/>
  </w:num>
  <w:num w:numId="8">
    <w:abstractNumId w:val="34"/>
  </w:num>
  <w:num w:numId="9">
    <w:abstractNumId w:val="40"/>
  </w:num>
  <w:num w:numId="10">
    <w:abstractNumId w:val="0"/>
  </w:num>
  <w:num w:numId="11">
    <w:abstractNumId w:val="22"/>
  </w:num>
  <w:num w:numId="12">
    <w:abstractNumId w:val="37"/>
  </w:num>
  <w:num w:numId="13">
    <w:abstractNumId w:val="24"/>
  </w:num>
  <w:num w:numId="14">
    <w:abstractNumId w:val="21"/>
  </w:num>
  <w:num w:numId="15">
    <w:abstractNumId w:val="30"/>
  </w:num>
  <w:num w:numId="16">
    <w:abstractNumId w:val="46"/>
  </w:num>
  <w:num w:numId="17">
    <w:abstractNumId w:val="7"/>
  </w:num>
  <w:num w:numId="18">
    <w:abstractNumId w:val="2"/>
  </w:num>
  <w:num w:numId="19">
    <w:abstractNumId w:val="8"/>
  </w:num>
  <w:num w:numId="20">
    <w:abstractNumId w:val="20"/>
  </w:num>
  <w:num w:numId="21">
    <w:abstractNumId w:val="17"/>
  </w:num>
  <w:num w:numId="22">
    <w:abstractNumId w:val="23"/>
  </w:num>
  <w:num w:numId="23">
    <w:abstractNumId w:val="43"/>
  </w:num>
  <w:num w:numId="24">
    <w:abstractNumId w:val="27"/>
  </w:num>
  <w:num w:numId="25">
    <w:abstractNumId w:val="42"/>
  </w:num>
  <w:num w:numId="26">
    <w:abstractNumId w:val="28"/>
  </w:num>
  <w:num w:numId="27">
    <w:abstractNumId w:val="4"/>
  </w:num>
  <w:num w:numId="28">
    <w:abstractNumId w:val="13"/>
  </w:num>
  <w:num w:numId="29">
    <w:abstractNumId w:val="41"/>
  </w:num>
  <w:num w:numId="30">
    <w:abstractNumId w:val="3"/>
  </w:num>
  <w:num w:numId="31">
    <w:abstractNumId w:val="16"/>
  </w:num>
  <w:num w:numId="32">
    <w:abstractNumId w:val="39"/>
  </w:num>
  <w:num w:numId="33">
    <w:abstractNumId w:val="11"/>
  </w:num>
  <w:num w:numId="34">
    <w:abstractNumId w:val="47"/>
  </w:num>
  <w:num w:numId="35">
    <w:abstractNumId w:val="1"/>
  </w:num>
  <w:num w:numId="36">
    <w:abstractNumId w:val="12"/>
  </w:num>
  <w:num w:numId="37">
    <w:abstractNumId w:val="26"/>
  </w:num>
  <w:num w:numId="38">
    <w:abstractNumId w:val="10"/>
  </w:num>
  <w:num w:numId="39">
    <w:abstractNumId w:val="6"/>
  </w:num>
  <w:num w:numId="40">
    <w:abstractNumId w:val="14"/>
  </w:num>
  <w:num w:numId="41">
    <w:abstractNumId w:val="32"/>
  </w:num>
  <w:num w:numId="42">
    <w:abstractNumId w:val="35"/>
  </w:num>
  <w:num w:numId="43">
    <w:abstractNumId w:val="18"/>
  </w:num>
  <w:num w:numId="44">
    <w:abstractNumId w:val="15"/>
  </w:num>
  <w:num w:numId="45">
    <w:abstractNumId w:val="29"/>
  </w:num>
  <w:num w:numId="46">
    <w:abstractNumId w:val="36"/>
  </w:num>
  <w:num w:numId="47">
    <w:abstractNumId w:val="45"/>
  </w:num>
  <w:num w:numId="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DA6"/>
    <w:rsid w:val="000353C1"/>
    <w:rsid w:val="000C6E73"/>
    <w:rsid w:val="000E110B"/>
    <w:rsid w:val="000E6557"/>
    <w:rsid w:val="000F18AD"/>
    <w:rsid w:val="00112D4E"/>
    <w:rsid w:val="001305D2"/>
    <w:rsid w:val="00143AD3"/>
    <w:rsid w:val="001641C2"/>
    <w:rsid w:val="00180305"/>
    <w:rsid w:val="001C6183"/>
    <w:rsid w:val="001D3C29"/>
    <w:rsid w:val="00207DA6"/>
    <w:rsid w:val="002167F6"/>
    <w:rsid w:val="00235952"/>
    <w:rsid w:val="00296FC8"/>
    <w:rsid w:val="002E255A"/>
    <w:rsid w:val="003136F8"/>
    <w:rsid w:val="00360995"/>
    <w:rsid w:val="003B3EDA"/>
    <w:rsid w:val="003D63E0"/>
    <w:rsid w:val="003D6A1A"/>
    <w:rsid w:val="0040509B"/>
    <w:rsid w:val="00416245"/>
    <w:rsid w:val="00421A86"/>
    <w:rsid w:val="00427E83"/>
    <w:rsid w:val="00470952"/>
    <w:rsid w:val="00493869"/>
    <w:rsid w:val="004C391B"/>
    <w:rsid w:val="004E22CB"/>
    <w:rsid w:val="00515B57"/>
    <w:rsid w:val="00553B00"/>
    <w:rsid w:val="0056568E"/>
    <w:rsid w:val="00572338"/>
    <w:rsid w:val="00574D7D"/>
    <w:rsid w:val="005963EC"/>
    <w:rsid w:val="005A774B"/>
    <w:rsid w:val="005C3823"/>
    <w:rsid w:val="005E37AA"/>
    <w:rsid w:val="006318C3"/>
    <w:rsid w:val="00681E82"/>
    <w:rsid w:val="00684A6E"/>
    <w:rsid w:val="006A1D59"/>
    <w:rsid w:val="006D7D7B"/>
    <w:rsid w:val="006E3D4A"/>
    <w:rsid w:val="00711D1F"/>
    <w:rsid w:val="00722B54"/>
    <w:rsid w:val="00722E9F"/>
    <w:rsid w:val="00740A51"/>
    <w:rsid w:val="0074669A"/>
    <w:rsid w:val="0077212C"/>
    <w:rsid w:val="00795223"/>
    <w:rsid w:val="007A7A2E"/>
    <w:rsid w:val="007E7E5D"/>
    <w:rsid w:val="007F79ED"/>
    <w:rsid w:val="008202C6"/>
    <w:rsid w:val="00844246"/>
    <w:rsid w:val="00844685"/>
    <w:rsid w:val="00884AAC"/>
    <w:rsid w:val="008D634C"/>
    <w:rsid w:val="008E494B"/>
    <w:rsid w:val="008F67B9"/>
    <w:rsid w:val="009009A1"/>
    <w:rsid w:val="00912E0B"/>
    <w:rsid w:val="0091758F"/>
    <w:rsid w:val="0092245D"/>
    <w:rsid w:val="00963EC1"/>
    <w:rsid w:val="00981946"/>
    <w:rsid w:val="009A52AD"/>
    <w:rsid w:val="009A7F3E"/>
    <w:rsid w:val="009D3654"/>
    <w:rsid w:val="00A4199F"/>
    <w:rsid w:val="00A42439"/>
    <w:rsid w:val="00A45989"/>
    <w:rsid w:val="00A537E4"/>
    <w:rsid w:val="00A8711D"/>
    <w:rsid w:val="00AC1E57"/>
    <w:rsid w:val="00AE6119"/>
    <w:rsid w:val="00AF02A9"/>
    <w:rsid w:val="00AF69B1"/>
    <w:rsid w:val="00B72EDF"/>
    <w:rsid w:val="00B9707A"/>
    <w:rsid w:val="00C36331"/>
    <w:rsid w:val="00C53E9F"/>
    <w:rsid w:val="00C740E0"/>
    <w:rsid w:val="00C85CE1"/>
    <w:rsid w:val="00D067C9"/>
    <w:rsid w:val="00DA440C"/>
    <w:rsid w:val="00DB248A"/>
    <w:rsid w:val="00DE4F4F"/>
    <w:rsid w:val="00E433E2"/>
    <w:rsid w:val="00E64869"/>
    <w:rsid w:val="00E75395"/>
    <w:rsid w:val="00EA6DD2"/>
    <w:rsid w:val="00EF3037"/>
    <w:rsid w:val="00F03462"/>
    <w:rsid w:val="00F2563E"/>
    <w:rsid w:val="00F81CD8"/>
    <w:rsid w:val="00F9200D"/>
    <w:rsid w:val="00FB166D"/>
    <w:rsid w:val="00FB1BB2"/>
    <w:rsid w:val="00FC23DE"/>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Table Simple 1" w:uiPriority="0"/>
    <w:lsdException w:name="Table Simple 2" w:uiPriority="0"/>
    <w:lsdException w:name="Table Classic 1" w:uiPriority="0"/>
    <w:lsdException w:name="Table Classic 2" w:uiPriority="0"/>
    <w:lsdException w:name="Table List 3" w:uiPriority="0"/>
    <w:lsdException w:name="Table List 4" w:uiPriority="0"/>
    <w:lsdException w:name="Table 3D effects 1"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52AD"/>
    <w:pPr>
      <w:widowControl w:val="0"/>
      <w:suppressAutoHyphens/>
      <w:spacing w:after="0" w:line="240" w:lineRule="auto"/>
    </w:pPr>
    <w:rPr>
      <w:rFonts w:ascii="Times New Roman" w:eastAsia="Arial Unicode MS" w:hAnsi="Times New Roman" w:cs="Times New Roman"/>
      <w:kern w:val="1"/>
      <w:sz w:val="24"/>
      <w:szCs w:val="24"/>
      <w:lang w:val="es-ES_tradnl" w:eastAsia="ar-SA"/>
    </w:rPr>
  </w:style>
  <w:style w:type="paragraph" w:styleId="Ttulo1">
    <w:name w:val="heading 1"/>
    <w:basedOn w:val="Normal"/>
    <w:next w:val="Normal"/>
    <w:link w:val="Ttulo1Car"/>
    <w:qFormat/>
    <w:rsid w:val="001D3C29"/>
    <w:pPr>
      <w:widowControl/>
      <w:suppressAutoHyphens w:val="0"/>
      <w:autoSpaceDE w:val="0"/>
      <w:autoSpaceDN w:val="0"/>
      <w:adjustRightInd w:val="0"/>
      <w:jc w:val="center"/>
      <w:outlineLvl w:val="0"/>
    </w:pPr>
    <w:rPr>
      <w:rFonts w:ascii="Arial" w:eastAsia="Times New Roman" w:hAnsi="Arial" w:cs="Arial"/>
      <w:color w:val="000000"/>
      <w:kern w:val="0"/>
      <w:sz w:val="44"/>
      <w:szCs w:val="44"/>
      <w:lang w:val="es-ES" w:eastAsia="es-ES"/>
    </w:rPr>
  </w:style>
  <w:style w:type="paragraph" w:styleId="Ttulo2">
    <w:name w:val="heading 2"/>
    <w:basedOn w:val="Normal"/>
    <w:next w:val="Normal"/>
    <w:link w:val="Ttulo2Car"/>
    <w:qFormat/>
    <w:rsid w:val="001D3C29"/>
    <w:pPr>
      <w:keepNext/>
      <w:framePr w:hSpace="141" w:wrap="around" w:vAnchor="text" w:hAnchor="margin" w:y="151"/>
      <w:widowControl/>
      <w:suppressAutoHyphens w:val="0"/>
      <w:jc w:val="center"/>
      <w:outlineLvl w:val="1"/>
    </w:pPr>
    <w:rPr>
      <w:rFonts w:ascii="Arial" w:eastAsia="Times New Roman" w:hAnsi="Arial" w:cs="Arial"/>
      <w:b/>
      <w:bCs/>
      <w:kern w:val="0"/>
      <w:sz w:val="22"/>
      <w:lang w:val="en-US" w:eastAsia="es-ES"/>
    </w:rPr>
  </w:style>
  <w:style w:type="paragraph" w:styleId="Ttulo3">
    <w:name w:val="heading 3"/>
    <w:basedOn w:val="Normal"/>
    <w:next w:val="Normal"/>
    <w:link w:val="Ttulo3Car"/>
    <w:qFormat/>
    <w:rsid w:val="001D3C29"/>
    <w:pPr>
      <w:keepNext/>
      <w:widowControl/>
      <w:suppressAutoHyphens w:val="0"/>
      <w:outlineLvl w:val="2"/>
    </w:pPr>
    <w:rPr>
      <w:rFonts w:ascii="Arial" w:eastAsia="Times New Roman" w:hAnsi="Arial" w:cs="Arial"/>
      <w:b/>
      <w:color w:val="000000"/>
      <w:kern w:val="0"/>
      <w:lang w:val="es-ES" w:eastAsia="es-ES"/>
    </w:rPr>
  </w:style>
  <w:style w:type="paragraph" w:styleId="Ttulo4">
    <w:name w:val="heading 4"/>
    <w:basedOn w:val="Normal"/>
    <w:next w:val="Normal"/>
    <w:link w:val="Ttulo4Car"/>
    <w:semiHidden/>
    <w:unhideWhenUsed/>
    <w:qFormat/>
    <w:rsid w:val="001D3C29"/>
    <w:pPr>
      <w:keepNext/>
      <w:keepLines/>
      <w:widowControl/>
      <w:suppressAutoHyphens w:val="0"/>
      <w:spacing w:before="40"/>
      <w:outlineLvl w:val="3"/>
    </w:pPr>
    <w:rPr>
      <w:rFonts w:asciiTheme="majorHAnsi" w:eastAsiaTheme="majorEastAsia" w:hAnsiTheme="majorHAnsi" w:cstheme="majorBidi"/>
      <w:i/>
      <w:iCs/>
      <w:color w:val="365F91" w:themeColor="accent1" w:themeShade="BF"/>
      <w:kern w:val="0"/>
      <w:lang w:val="es-ES" w:eastAsia="es-ES"/>
    </w:rPr>
  </w:style>
  <w:style w:type="paragraph" w:styleId="Ttulo5">
    <w:name w:val="heading 5"/>
    <w:basedOn w:val="Normal"/>
    <w:next w:val="Normal"/>
    <w:link w:val="Ttulo5Car"/>
    <w:qFormat/>
    <w:rsid w:val="001D3C29"/>
    <w:pPr>
      <w:widowControl/>
      <w:suppressAutoHyphens w:val="0"/>
      <w:spacing w:before="240" w:after="60"/>
      <w:outlineLvl w:val="4"/>
    </w:pPr>
    <w:rPr>
      <w:rFonts w:ascii="Arial" w:eastAsia="Times New Roman" w:hAnsi="Arial"/>
      <w:b/>
      <w:bCs/>
      <w:i/>
      <w:iCs/>
      <w:kern w:val="0"/>
      <w:sz w:val="26"/>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07DA6"/>
    <w:pPr>
      <w:widowControl/>
      <w:tabs>
        <w:tab w:val="center" w:pos="4252"/>
        <w:tab w:val="right" w:pos="8504"/>
      </w:tabs>
      <w:suppressAutoHyphens w:val="0"/>
    </w:pPr>
    <w:rPr>
      <w:rFonts w:asciiTheme="minorHAnsi" w:eastAsiaTheme="minorHAnsi" w:hAnsiTheme="minorHAnsi" w:cstheme="minorBidi"/>
      <w:kern w:val="0"/>
      <w:sz w:val="22"/>
      <w:szCs w:val="22"/>
      <w:lang w:val="es-ES" w:eastAsia="en-US"/>
    </w:rPr>
  </w:style>
  <w:style w:type="character" w:customStyle="1" w:styleId="EncabezadoCar">
    <w:name w:val="Encabezado Car"/>
    <w:basedOn w:val="Fuentedeprrafopredeter"/>
    <w:link w:val="Encabezado"/>
    <w:uiPriority w:val="99"/>
    <w:rsid w:val="00207DA6"/>
  </w:style>
  <w:style w:type="paragraph" w:styleId="Piedepgina">
    <w:name w:val="footer"/>
    <w:basedOn w:val="Normal"/>
    <w:link w:val="PiedepginaCar"/>
    <w:unhideWhenUsed/>
    <w:rsid w:val="00207DA6"/>
    <w:pPr>
      <w:widowControl/>
      <w:tabs>
        <w:tab w:val="center" w:pos="4252"/>
        <w:tab w:val="right" w:pos="8504"/>
      </w:tabs>
      <w:suppressAutoHyphens w:val="0"/>
    </w:pPr>
    <w:rPr>
      <w:rFonts w:asciiTheme="minorHAnsi" w:eastAsiaTheme="minorHAnsi" w:hAnsiTheme="minorHAnsi" w:cstheme="minorBidi"/>
      <w:kern w:val="0"/>
      <w:sz w:val="22"/>
      <w:szCs w:val="22"/>
      <w:lang w:val="es-ES" w:eastAsia="en-US"/>
    </w:rPr>
  </w:style>
  <w:style w:type="character" w:customStyle="1" w:styleId="PiedepginaCar">
    <w:name w:val="Pie de página Car"/>
    <w:basedOn w:val="Fuentedeprrafopredeter"/>
    <w:link w:val="Piedepgina"/>
    <w:uiPriority w:val="99"/>
    <w:rsid w:val="00207DA6"/>
  </w:style>
  <w:style w:type="paragraph" w:styleId="Textodeglobo">
    <w:name w:val="Balloon Text"/>
    <w:basedOn w:val="Normal"/>
    <w:link w:val="TextodegloboCar"/>
    <w:unhideWhenUsed/>
    <w:rsid w:val="00207DA6"/>
    <w:pPr>
      <w:widowControl/>
      <w:suppressAutoHyphens w:val="0"/>
    </w:pPr>
    <w:rPr>
      <w:rFonts w:ascii="Tahoma" w:eastAsiaTheme="minorHAnsi" w:hAnsi="Tahoma" w:cs="Tahoma"/>
      <w:kern w:val="0"/>
      <w:sz w:val="16"/>
      <w:szCs w:val="16"/>
      <w:lang w:val="es-ES" w:eastAsia="en-US"/>
    </w:rPr>
  </w:style>
  <w:style w:type="character" w:customStyle="1" w:styleId="TextodegloboCar">
    <w:name w:val="Texto de globo Car"/>
    <w:basedOn w:val="Fuentedeprrafopredeter"/>
    <w:link w:val="Textodeglobo"/>
    <w:rsid w:val="00207DA6"/>
    <w:rPr>
      <w:rFonts w:ascii="Tahoma" w:hAnsi="Tahoma" w:cs="Tahoma"/>
      <w:sz w:val="16"/>
      <w:szCs w:val="16"/>
    </w:rPr>
  </w:style>
  <w:style w:type="paragraph" w:styleId="Sinespaciado">
    <w:name w:val="No Spacing"/>
    <w:uiPriority w:val="1"/>
    <w:qFormat/>
    <w:rsid w:val="00844685"/>
    <w:pPr>
      <w:spacing w:after="0" w:line="240" w:lineRule="auto"/>
    </w:pPr>
  </w:style>
  <w:style w:type="paragraph" w:styleId="Prrafodelista">
    <w:name w:val="List Paragraph"/>
    <w:basedOn w:val="Normal"/>
    <w:uiPriority w:val="34"/>
    <w:qFormat/>
    <w:rsid w:val="009D3654"/>
    <w:pPr>
      <w:widowControl/>
      <w:suppressAutoHyphens w:val="0"/>
      <w:spacing w:after="200" w:line="276" w:lineRule="auto"/>
      <w:ind w:left="720"/>
      <w:contextualSpacing/>
    </w:pPr>
    <w:rPr>
      <w:rFonts w:asciiTheme="minorHAnsi" w:eastAsiaTheme="minorHAnsi" w:hAnsiTheme="minorHAnsi" w:cstheme="minorBidi"/>
      <w:kern w:val="0"/>
      <w:sz w:val="22"/>
      <w:szCs w:val="22"/>
      <w:lang w:val="es-ES" w:eastAsia="en-US"/>
    </w:rPr>
  </w:style>
  <w:style w:type="character" w:customStyle="1" w:styleId="Ttulo1Car">
    <w:name w:val="Título 1 Car"/>
    <w:basedOn w:val="Fuentedeprrafopredeter"/>
    <w:link w:val="Ttulo1"/>
    <w:rsid w:val="001D3C29"/>
    <w:rPr>
      <w:rFonts w:ascii="Arial" w:eastAsia="Times New Roman" w:hAnsi="Arial" w:cs="Arial"/>
      <w:color w:val="000000"/>
      <w:sz w:val="44"/>
      <w:szCs w:val="44"/>
      <w:lang w:eastAsia="es-ES"/>
    </w:rPr>
  </w:style>
  <w:style w:type="character" w:customStyle="1" w:styleId="Ttulo2Car">
    <w:name w:val="Título 2 Car"/>
    <w:basedOn w:val="Fuentedeprrafopredeter"/>
    <w:link w:val="Ttulo2"/>
    <w:rsid w:val="001D3C29"/>
    <w:rPr>
      <w:rFonts w:ascii="Arial" w:eastAsia="Times New Roman" w:hAnsi="Arial" w:cs="Arial"/>
      <w:b/>
      <w:bCs/>
      <w:szCs w:val="24"/>
      <w:lang w:val="en-US" w:eastAsia="es-ES"/>
    </w:rPr>
  </w:style>
  <w:style w:type="character" w:customStyle="1" w:styleId="Ttulo3Car">
    <w:name w:val="Título 3 Car"/>
    <w:basedOn w:val="Fuentedeprrafopredeter"/>
    <w:link w:val="Ttulo3"/>
    <w:rsid w:val="001D3C29"/>
    <w:rPr>
      <w:rFonts w:ascii="Arial" w:eastAsia="Times New Roman" w:hAnsi="Arial" w:cs="Arial"/>
      <w:b/>
      <w:color w:val="000000"/>
      <w:sz w:val="24"/>
      <w:szCs w:val="24"/>
      <w:lang w:eastAsia="es-ES"/>
    </w:rPr>
  </w:style>
  <w:style w:type="character" w:customStyle="1" w:styleId="Ttulo4Car">
    <w:name w:val="Título 4 Car"/>
    <w:basedOn w:val="Fuentedeprrafopredeter"/>
    <w:link w:val="Ttulo4"/>
    <w:semiHidden/>
    <w:rsid w:val="001D3C29"/>
    <w:rPr>
      <w:rFonts w:asciiTheme="majorHAnsi" w:eastAsiaTheme="majorEastAsia" w:hAnsiTheme="majorHAnsi" w:cstheme="majorBidi"/>
      <w:i/>
      <w:iCs/>
      <w:color w:val="365F91" w:themeColor="accent1" w:themeShade="BF"/>
      <w:sz w:val="24"/>
      <w:szCs w:val="24"/>
      <w:lang w:eastAsia="es-ES"/>
    </w:rPr>
  </w:style>
  <w:style w:type="character" w:customStyle="1" w:styleId="Ttulo5Car">
    <w:name w:val="Título 5 Car"/>
    <w:basedOn w:val="Fuentedeprrafopredeter"/>
    <w:link w:val="Ttulo5"/>
    <w:rsid w:val="001D3C29"/>
    <w:rPr>
      <w:rFonts w:ascii="Arial" w:eastAsia="Times New Roman" w:hAnsi="Arial" w:cs="Times New Roman"/>
      <w:b/>
      <w:bCs/>
      <w:i/>
      <w:iCs/>
      <w:sz w:val="26"/>
      <w:szCs w:val="26"/>
      <w:lang w:eastAsia="es-ES"/>
    </w:rPr>
  </w:style>
  <w:style w:type="numbering" w:customStyle="1" w:styleId="Sinlista1">
    <w:name w:val="Sin lista1"/>
    <w:next w:val="Sinlista"/>
    <w:uiPriority w:val="99"/>
    <w:semiHidden/>
    <w:unhideWhenUsed/>
    <w:rsid w:val="001D3C29"/>
  </w:style>
  <w:style w:type="paragraph" w:styleId="NormalWeb">
    <w:name w:val="Normal (Web)"/>
    <w:basedOn w:val="Normal"/>
    <w:uiPriority w:val="99"/>
    <w:rsid w:val="001D3C29"/>
    <w:pPr>
      <w:widowControl/>
      <w:suppressAutoHyphens w:val="0"/>
      <w:spacing w:before="100" w:beforeAutospacing="1" w:after="100" w:afterAutospacing="1"/>
    </w:pPr>
    <w:rPr>
      <w:rFonts w:eastAsia="Times New Roman"/>
      <w:kern w:val="0"/>
      <w:lang w:val="es-ES" w:eastAsia="es-ES"/>
    </w:rPr>
  </w:style>
  <w:style w:type="paragraph" w:styleId="Textoindependiente">
    <w:name w:val="Body Text"/>
    <w:basedOn w:val="Normal"/>
    <w:link w:val="TextoindependienteCar"/>
    <w:rsid w:val="001D3C29"/>
    <w:pPr>
      <w:widowControl/>
      <w:suppressAutoHyphens w:val="0"/>
      <w:spacing w:after="120"/>
    </w:pPr>
    <w:rPr>
      <w:rFonts w:ascii="Arial" w:eastAsia="Times New Roman" w:hAnsi="Arial"/>
      <w:kern w:val="0"/>
      <w:lang w:val="es-ES" w:eastAsia="es-ES"/>
    </w:rPr>
  </w:style>
  <w:style w:type="character" w:customStyle="1" w:styleId="TextoindependienteCar">
    <w:name w:val="Texto independiente Car"/>
    <w:basedOn w:val="Fuentedeprrafopredeter"/>
    <w:link w:val="Textoindependiente"/>
    <w:rsid w:val="001D3C29"/>
    <w:rPr>
      <w:rFonts w:ascii="Arial" w:eastAsia="Times New Roman" w:hAnsi="Arial" w:cs="Times New Roman"/>
      <w:sz w:val="24"/>
      <w:szCs w:val="24"/>
      <w:lang w:eastAsia="es-ES"/>
    </w:rPr>
  </w:style>
  <w:style w:type="character" w:styleId="Hipervnculo">
    <w:name w:val="Hyperlink"/>
    <w:rsid w:val="001D3C29"/>
    <w:rPr>
      <w:color w:val="0000FF"/>
      <w:u w:val="single"/>
    </w:rPr>
  </w:style>
  <w:style w:type="character" w:styleId="Hipervnculovisitado">
    <w:name w:val="FollowedHyperlink"/>
    <w:rsid w:val="001D3C29"/>
    <w:rPr>
      <w:color w:val="800080"/>
      <w:u w:val="single"/>
    </w:rPr>
  </w:style>
  <w:style w:type="character" w:customStyle="1" w:styleId="ti2">
    <w:name w:val="ti2"/>
    <w:rsid w:val="001D3C29"/>
    <w:rPr>
      <w:sz w:val="22"/>
      <w:szCs w:val="22"/>
    </w:rPr>
  </w:style>
  <w:style w:type="paragraph" w:styleId="Sangradetextonormal">
    <w:name w:val="Body Text Indent"/>
    <w:basedOn w:val="Normal"/>
    <w:link w:val="SangradetextonormalCar"/>
    <w:rsid w:val="001D3C29"/>
    <w:pPr>
      <w:widowControl/>
      <w:suppressAutoHyphens w:val="0"/>
      <w:spacing w:after="120"/>
      <w:ind w:left="283"/>
    </w:pPr>
    <w:rPr>
      <w:rFonts w:ascii="Arial" w:eastAsia="Times New Roman" w:hAnsi="Arial"/>
      <w:kern w:val="0"/>
      <w:lang w:val="es-ES" w:eastAsia="es-ES"/>
    </w:rPr>
  </w:style>
  <w:style w:type="character" w:customStyle="1" w:styleId="SangradetextonormalCar">
    <w:name w:val="Sangría de texto normal Car"/>
    <w:basedOn w:val="Fuentedeprrafopredeter"/>
    <w:link w:val="Sangradetextonormal"/>
    <w:rsid w:val="001D3C29"/>
    <w:rPr>
      <w:rFonts w:ascii="Arial" w:eastAsia="Times New Roman" w:hAnsi="Arial" w:cs="Times New Roman"/>
      <w:sz w:val="24"/>
      <w:szCs w:val="24"/>
      <w:lang w:eastAsia="es-ES"/>
    </w:rPr>
  </w:style>
  <w:style w:type="paragraph" w:customStyle="1" w:styleId="Default">
    <w:name w:val="Default"/>
    <w:rsid w:val="001D3C29"/>
    <w:pPr>
      <w:autoSpaceDE w:val="0"/>
      <w:autoSpaceDN w:val="0"/>
      <w:adjustRightInd w:val="0"/>
      <w:spacing w:after="0" w:line="240" w:lineRule="auto"/>
    </w:pPr>
    <w:rPr>
      <w:rFonts w:ascii="Arial" w:eastAsia="Times New Roman" w:hAnsi="Arial" w:cs="Arial"/>
      <w:color w:val="000000"/>
      <w:sz w:val="24"/>
      <w:szCs w:val="24"/>
      <w:lang w:eastAsia="es-ES"/>
    </w:rPr>
  </w:style>
  <w:style w:type="character" w:styleId="Textoennegrita">
    <w:name w:val="Strong"/>
    <w:uiPriority w:val="22"/>
    <w:qFormat/>
    <w:rsid w:val="001D3C29"/>
    <w:rPr>
      <w:b/>
      <w:bCs/>
    </w:rPr>
  </w:style>
  <w:style w:type="table" w:styleId="Tablabsica1">
    <w:name w:val="Table Simple 1"/>
    <w:basedOn w:val="Tablanormal"/>
    <w:rsid w:val="001D3C29"/>
    <w:pPr>
      <w:spacing w:after="0" w:line="240" w:lineRule="auto"/>
    </w:pPr>
    <w:rPr>
      <w:rFonts w:ascii="Times New Roman" w:eastAsia="Times New Roman" w:hAnsi="Times New Roman" w:cs="Times New Roman"/>
      <w:sz w:val="20"/>
      <w:szCs w:val="20"/>
      <w:lang w:val="es-CO" w:eastAsia="es-CO"/>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concuadrcula">
    <w:name w:val="Table Grid"/>
    <w:basedOn w:val="Tablanormal"/>
    <w:rsid w:val="001D3C29"/>
    <w:pPr>
      <w:spacing w:after="0" w:line="240" w:lineRule="auto"/>
    </w:pPr>
    <w:rPr>
      <w:rFonts w:ascii="Times New Roman" w:eastAsia="Times New Roman" w:hAnsi="Times New Roman"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link w:val="SubttuloCar"/>
    <w:qFormat/>
    <w:rsid w:val="001D3C29"/>
    <w:pPr>
      <w:widowControl/>
      <w:suppressAutoHyphens w:val="0"/>
      <w:spacing w:after="60"/>
      <w:jc w:val="center"/>
      <w:outlineLvl w:val="1"/>
    </w:pPr>
    <w:rPr>
      <w:rFonts w:ascii="Cambria" w:eastAsia="Times New Roman" w:hAnsi="Cambria"/>
      <w:kern w:val="0"/>
    </w:rPr>
  </w:style>
  <w:style w:type="character" w:customStyle="1" w:styleId="SubttuloCar">
    <w:name w:val="Subtítulo Car"/>
    <w:basedOn w:val="Fuentedeprrafopredeter"/>
    <w:link w:val="Subttulo"/>
    <w:rsid w:val="001D3C29"/>
    <w:rPr>
      <w:rFonts w:ascii="Cambria" w:eastAsia="Times New Roman" w:hAnsi="Cambria" w:cs="Times New Roman"/>
      <w:sz w:val="24"/>
      <w:szCs w:val="24"/>
    </w:rPr>
  </w:style>
  <w:style w:type="character" w:customStyle="1" w:styleId="apple-style-span">
    <w:name w:val="apple-style-span"/>
    <w:basedOn w:val="Fuentedeprrafopredeter"/>
    <w:rsid w:val="001D3C29"/>
  </w:style>
  <w:style w:type="character" w:customStyle="1" w:styleId="apple-converted-space">
    <w:name w:val="apple-converted-space"/>
    <w:basedOn w:val="Fuentedeprrafopredeter"/>
    <w:rsid w:val="001D3C29"/>
  </w:style>
  <w:style w:type="character" w:customStyle="1" w:styleId="hps">
    <w:name w:val="hps"/>
    <w:basedOn w:val="Fuentedeprrafopredeter"/>
    <w:rsid w:val="001D3C29"/>
  </w:style>
  <w:style w:type="character" w:customStyle="1" w:styleId="gt-icon-text1">
    <w:name w:val="gt-icon-text1"/>
    <w:basedOn w:val="Fuentedeprrafopredeter"/>
    <w:rsid w:val="001D3C29"/>
  </w:style>
  <w:style w:type="character" w:customStyle="1" w:styleId="citation-publication-date">
    <w:name w:val="citation-publication-date"/>
    <w:basedOn w:val="Fuentedeprrafopredeter"/>
    <w:rsid w:val="001D3C29"/>
  </w:style>
  <w:style w:type="paragraph" w:customStyle="1" w:styleId="title1">
    <w:name w:val="title1"/>
    <w:basedOn w:val="Normal"/>
    <w:rsid w:val="001D3C29"/>
    <w:pPr>
      <w:widowControl/>
      <w:suppressAutoHyphens w:val="0"/>
    </w:pPr>
    <w:rPr>
      <w:rFonts w:eastAsia="Times New Roman"/>
      <w:kern w:val="0"/>
      <w:sz w:val="29"/>
      <w:szCs w:val="29"/>
      <w:lang w:val="es-CO" w:eastAsia="es-CO"/>
    </w:rPr>
  </w:style>
  <w:style w:type="paragraph" w:customStyle="1" w:styleId="desc1">
    <w:name w:val="desc1"/>
    <w:basedOn w:val="Normal"/>
    <w:rsid w:val="001D3C29"/>
    <w:pPr>
      <w:widowControl/>
      <w:suppressAutoHyphens w:val="0"/>
      <w:spacing w:before="100" w:beforeAutospacing="1" w:after="100" w:afterAutospacing="1"/>
    </w:pPr>
    <w:rPr>
      <w:rFonts w:eastAsia="Times New Roman"/>
      <w:kern w:val="0"/>
      <w:sz w:val="28"/>
      <w:szCs w:val="28"/>
      <w:lang w:val="es-CO" w:eastAsia="es-CO"/>
    </w:rPr>
  </w:style>
  <w:style w:type="character" w:customStyle="1" w:styleId="jrnl">
    <w:name w:val="jrnl"/>
    <w:basedOn w:val="Fuentedeprrafopredeter"/>
    <w:rsid w:val="001D3C29"/>
  </w:style>
  <w:style w:type="character" w:customStyle="1" w:styleId="src1">
    <w:name w:val="src1"/>
    <w:rsid w:val="001D3C29"/>
    <w:rPr>
      <w:vanish w:val="0"/>
      <w:webHidden w:val="0"/>
      <w:specVanish w:val="0"/>
    </w:rPr>
  </w:style>
  <w:style w:type="paragraph" w:customStyle="1" w:styleId="authlist">
    <w:name w:val="auth_list"/>
    <w:basedOn w:val="Normal"/>
    <w:rsid w:val="001D3C29"/>
    <w:pPr>
      <w:widowControl/>
      <w:suppressAutoHyphens w:val="0"/>
      <w:spacing w:before="100" w:beforeAutospacing="1" w:after="100" w:afterAutospacing="1"/>
    </w:pPr>
    <w:rPr>
      <w:rFonts w:eastAsia="Times New Roman"/>
      <w:kern w:val="0"/>
      <w:lang w:val="es-ES" w:eastAsia="es-ES"/>
    </w:rPr>
  </w:style>
  <w:style w:type="paragraph" w:customStyle="1" w:styleId="Prrafodelista1">
    <w:name w:val="Párrafo de lista1"/>
    <w:basedOn w:val="Normal"/>
    <w:rsid w:val="001D3C29"/>
    <w:pPr>
      <w:widowControl/>
      <w:suppressAutoHyphens w:val="0"/>
      <w:spacing w:after="200" w:line="276" w:lineRule="auto"/>
      <w:ind w:left="720"/>
      <w:contextualSpacing/>
    </w:pPr>
    <w:rPr>
      <w:rFonts w:ascii="Calibri" w:eastAsia="Times New Roman" w:hAnsi="Calibri"/>
      <w:kern w:val="0"/>
      <w:sz w:val="22"/>
      <w:szCs w:val="22"/>
      <w:lang w:val="es-CO" w:eastAsia="en-US"/>
    </w:rPr>
  </w:style>
  <w:style w:type="character" w:customStyle="1" w:styleId="st1">
    <w:name w:val="st1"/>
    <w:basedOn w:val="Fuentedeprrafopredeter"/>
    <w:rsid w:val="001D3C29"/>
  </w:style>
  <w:style w:type="character" w:customStyle="1" w:styleId="ft">
    <w:name w:val="ft"/>
    <w:basedOn w:val="Fuentedeprrafopredeter"/>
    <w:rsid w:val="001D3C29"/>
  </w:style>
  <w:style w:type="table" w:styleId="Tablaclsica1">
    <w:name w:val="Table Classic 1"/>
    <w:basedOn w:val="Tablanormal"/>
    <w:rsid w:val="001D3C29"/>
    <w:pPr>
      <w:spacing w:after="0" w:line="240" w:lineRule="auto"/>
    </w:pPr>
    <w:rPr>
      <w:rFonts w:ascii="Times New Roman" w:eastAsia="Times New Roman" w:hAnsi="Times New Roman" w:cs="Times New Roman"/>
      <w:sz w:val="20"/>
      <w:szCs w:val="20"/>
      <w:lang w:val="es-CO" w:eastAsia="es-C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bsica2">
    <w:name w:val="Table Simple 2"/>
    <w:basedOn w:val="Tablanormal"/>
    <w:rsid w:val="001D3C29"/>
    <w:pPr>
      <w:spacing w:after="0" w:line="240" w:lineRule="auto"/>
    </w:pPr>
    <w:rPr>
      <w:rFonts w:ascii="Times New Roman" w:eastAsia="Times New Roman" w:hAnsi="Times New Roman" w:cs="Times New Roman"/>
      <w:sz w:val="20"/>
      <w:szCs w:val="20"/>
      <w:lang w:val="es-CO" w:eastAsia="es-CO"/>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clsica2">
    <w:name w:val="Table Classic 2"/>
    <w:basedOn w:val="Tablanormal"/>
    <w:rsid w:val="001D3C29"/>
    <w:pPr>
      <w:spacing w:after="0" w:line="240" w:lineRule="auto"/>
    </w:pPr>
    <w:rPr>
      <w:rFonts w:ascii="Times New Roman" w:eastAsia="Times New Roman" w:hAnsi="Times New Roman" w:cs="Times New Roman"/>
      <w:sz w:val="20"/>
      <w:szCs w:val="20"/>
      <w:lang w:val="es-CO" w:eastAsia="es-C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onlista4">
    <w:name w:val="Table List 4"/>
    <w:basedOn w:val="Tablanormal"/>
    <w:rsid w:val="001D3C29"/>
    <w:pPr>
      <w:spacing w:after="0" w:line="240" w:lineRule="auto"/>
    </w:pPr>
    <w:rPr>
      <w:rFonts w:ascii="Times New Roman" w:eastAsia="Times New Roman" w:hAnsi="Times New Roman" w:cs="Times New Roman"/>
      <w:sz w:val="20"/>
      <w:szCs w:val="20"/>
      <w:lang w:val="es-CO" w:eastAsia="es-CO"/>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efectos3D1">
    <w:name w:val="Table 3D effects 1"/>
    <w:basedOn w:val="Tablanormal"/>
    <w:rsid w:val="001D3C29"/>
    <w:pPr>
      <w:spacing w:after="0" w:line="240" w:lineRule="auto"/>
    </w:pPr>
    <w:rPr>
      <w:rFonts w:ascii="Times New Roman" w:eastAsia="Times New Roman" w:hAnsi="Times New Roman" w:cs="Times New Roman"/>
      <w:sz w:val="20"/>
      <w:szCs w:val="20"/>
      <w:lang w:val="es-CO" w:eastAsia="es-CO"/>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lista3">
    <w:name w:val="Table List 3"/>
    <w:basedOn w:val="Tablanormal"/>
    <w:rsid w:val="001D3C29"/>
    <w:pPr>
      <w:spacing w:after="0" w:line="240" w:lineRule="auto"/>
    </w:pPr>
    <w:rPr>
      <w:rFonts w:ascii="Times New Roman" w:eastAsia="Times New Roman" w:hAnsi="Times New Roman" w:cs="Times New Roman"/>
      <w:sz w:val="20"/>
      <w:szCs w:val="20"/>
      <w:lang w:val="es-CO" w:eastAsia="es-CO"/>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customStyle="1" w:styleId="Puesto1">
    <w:name w:val="Puesto1"/>
    <w:basedOn w:val="Normal"/>
    <w:rsid w:val="001D3C29"/>
    <w:pPr>
      <w:widowControl/>
      <w:suppressAutoHyphens w:val="0"/>
      <w:spacing w:before="100" w:beforeAutospacing="1" w:after="100" w:afterAutospacing="1"/>
    </w:pPr>
    <w:rPr>
      <w:rFonts w:eastAsia="Times New Roman"/>
      <w:kern w:val="0"/>
      <w:lang w:val="es-CO" w:eastAsia="es-CO"/>
    </w:rPr>
  </w:style>
  <w:style w:type="paragraph" w:customStyle="1" w:styleId="desc">
    <w:name w:val="desc"/>
    <w:basedOn w:val="Normal"/>
    <w:rsid w:val="001D3C29"/>
    <w:pPr>
      <w:widowControl/>
      <w:suppressAutoHyphens w:val="0"/>
      <w:spacing w:before="100" w:beforeAutospacing="1" w:after="100" w:afterAutospacing="1"/>
    </w:pPr>
    <w:rPr>
      <w:rFonts w:eastAsia="Times New Roman"/>
      <w:kern w:val="0"/>
      <w:lang w:val="es-CO" w:eastAsia="es-CO"/>
    </w:rPr>
  </w:style>
  <w:style w:type="paragraph" w:customStyle="1" w:styleId="details">
    <w:name w:val="details"/>
    <w:basedOn w:val="Normal"/>
    <w:rsid w:val="001D3C29"/>
    <w:pPr>
      <w:widowControl/>
      <w:suppressAutoHyphens w:val="0"/>
      <w:spacing w:before="100" w:beforeAutospacing="1" w:after="100" w:afterAutospacing="1"/>
    </w:pPr>
    <w:rPr>
      <w:rFonts w:eastAsia="Times New Roman"/>
      <w:kern w:val="0"/>
      <w:lang w:val="es-CO" w:eastAsia="es-CO"/>
    </w:rPr>
  </w:style>
  <w:style w:type="character" w:customStyle="1" w:styleId="longtextshorttext">
    <w:name w:val="long_text short_text"/>
    <w:rsid w:val="001D3C29"/>
  </w:style>
  <w:style w:type="character" w:customStyle="1" w:styleId="shorttext">
    <w:name w:val="short_text"/>
    <w:rsid w:val="001D3C29"/>
  </w:style>
  <w:style w:type="character" w:customStyle="1" w:styleId="longtext">
    <w:name w:val="long_text"/>
    <w:rsid w:val="001D3C29"/>
  </w:style>
  <w:style w:type="character" w:customStyle="1" w:styleId="atn">
    <w:name w:val="atn"/>
    <w:rsid w:val="001D3C29"/>
  </w:style>
  <w:style w:type="character" w:customStyle="1" w:styleId="hpsatn">
    <w:name w:val="hps atn"/>
    <w:rsid w:val="001D3C29"/>
  </w:style>
  <w:style w:type="paragraph" w:customStyle="1" w:styleId="desc2">
    <w:name w:val="desc2"/>
    <w:basedOn w:val="Normal"/>
    <w:rsid w:val="001D3C29"/>
    <w:pPr>
      <w:widowControl/>
      <w:suppressAutoHyphens w:val="0"/>
      <w:spacing w:before="100" w:beforeAutospacing="1" w:after="100" w:afterAutospacing="1"/>
    </w:pPr>
    <w:rPr>
      <w:rFonts w:eastAsia="Times New Roman"/>
      <w:kern w:val="0"/>
      <w:sz w:val="28"/>
      <w:szCs w:val="28"/>
      <w:lang w:val="es-CO" w:eastAsia="es-CO"/>
    </w:rPr>
  </w:style>
  <w:style w:type="paragraph" w:customStyle="1" w:styleId="details1">
    <w:name w:val="details1"/>
    <w:basedOn w:val="Normal"/>
    <w:rsid w:val="001D3C29"/>
    <w:pPr>
      <w:widowControl/>
      <w:suppressAutoHyphens w:val="0"/>
      <w:spacing w:before="100" w:beforeAutospacing="1" w:after="100" w:afterAutospacing="1"/>
    </w:pPr>
    <w:rPr>
      <w:rFonts w:eastAsia="Times New Roman"/>
      <w:kern w:val="0"/>
      <w:lang w:val="es-CO" w:eastAsia="es-CO"/>
    </w:rPr>
  </w:style>
  <w:style w:type="paragraph" w:styleId="Sangra3detindependiente">
    <w:name w:val="Body Text Indent 3"/>
    <w:basedOn w:val="Normal"/>
    <w:link w:val="Sangra3detindependienteCar"/>
    <w:rsid w:val="001D3C29"/>
    <w:pPr>
      <w:widowControl/>
      <w:suppressAutoHyphens w:val="0"/>
      <w:spacing w:after="120"/>
      <w:ind w:left="283"/>
    </w:pPr>
    <w:rPr>
      <w:rFonts w:ascii="Arial" w:eastAsia="Times New Roman" w:hAnsi="Arial"/>
      <w:kern w:val="0"/>
      <w:sz w:val="16"/>
      <w:szCs w:val="16"/>
      <w:lang w:val="es-ES" w:eastAsia="es-ES"/>
    </w:rPr>
  </w:style>
  <w:style w:type="character" w:customStyle="1" w:styleId="Sangra3detindependienteCar">
    <w:name w:val="Sangría 3 de t. independiente Car"/>
    <w:basedOn w:val="Fuentedeprrafopredeter"/>
    <w:link w:val="Sangra3detindependiente"/>
    <w:rsid w:val="001D3C29"/>
    <w:rPr>
      <w:rFonts w:ascii="Arial" w:eastAsia="Times New Roman" w:hAnsi="Arial" w:cs="Times New Roman"/>
      <w:sz w:val="16"/>
      <w:szCs w:val="16"/>
      <w:lang w:eastAsia="es-ES"/>
    </w:rPr>
  </w:style>
  <w:style w:type="character" w:customStyle="1" w:styleId="WW-Fuentedeprrafopredeter">
    <w:name w:val="WW-Fuente de párrafo predeter."/>
    <w:rsid w:val="001D3C29"/>
  </w:style>
  <w:style w:type="character" w:styleId="Refdecomentario">
    <w:name w:val="annotation reference"/>
    <w:basedOn w:val="Fuentedeprrafopredeter"/>
    <w:uiPriority w:val="99"/>
    <w:semiHidden/>
    <w:unhideWhenUsed/>
    <w:rsid w:val="001D3C29"/>
    <w:rPr>
      <w:sz w:val="16"/>
      <w:szCs w:val="16"/>
    </w:rPr>
  </w:style>
  <w:style w:type="paragraph" w:styleId="Textocomentario">
    <w:name w:val="annotation text"/>
    <w:basedOn w:val="Normal"/>
    <w:link w:val="TextocomentarioCar"/>
    <w:uiPriority w:val="99"/>
    <w:semiHidden/>
    <w:unhideWhenUsed/>
    <w:rsid w:val="001D3C29"/>
    <w:pPr>
      <w:widowControl/>
      <w:suppressAutoHyphens w:val="0"/>
    </w:pPr>
    <w:rPr>
      <w:rFonts w:ascii="Arial" w:eastAsia="Times New Roman" w:hAnsi="Arial"/>
      <w:kern w:val="0"/>
      <w:sz w:val="20"/>
      <w:szCs w:val="20"/>
      <w:lang w:val="es-ES" w:eastAsia="es-ES"/>
    </w:rPr>
  </w:style>
  <w:style w:type="character" w:customStyle="1" w:styleId="TextocomentarioCar">
    <w:name w:val="Texto comentario Car"/>
    <w:basedOn w:val="Fuentedeprrafopredeter"/>
    <w:link w:val="Textocomentario"/>
    <w:uiPriority w:val="99"/>
    <w:semiHidden/>
    <w:rsid w:val="001D3C29"/>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semiHidden/>
    <w:unhideWhenUsed/>
    <w:rsid w:val="001D3C29"/>
    <w:rPr>
      <w:b/>
      <w:bCs/>
    </w:rPr>
  </w:style>
  <w:style w:type="character" w:customStyle="1" w:styleId="AsuntodelcomentarioCar">
    <w:name w:val="Asunto del comentario Car"/>
    <w:basedOn w:val="TextocomentarioCar"/>
    <w:link w:val="Asuntodelcomentario"/>
    <w:semiHidden/>
    <w:rsid w:val="001D3C29"/>
    <w:rPr>
      <w:rFonts w:ascii="Arial" w:eastAsia="Times New Roman" w:hAnsi="Arial" w:cs="Times New Roman"/>
      <w:b/>
      <w:bCs/>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Table Simple 1" w:uiPriority="0"/>
    <w:lsdException w:name="Table Simple 2" w:uiPriority="0"/>
    <w:lsdException w:name="Table Classic 1" w:uiPriority="0"/>
    <w:lsdException w:name="Table Classic 2" w:uiPriority="0"/>
    <w:lsdException w:name="Table List 3" w:uiPriority="0"/>
    <w:lsdException w:name="Table List 4" w:uiPriority="0"/>
    <w:lsdException w:name="Table 3D effects 1"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52AD"/>
    <w:pPr>
      <w:widowControl w:val="0"/>
      <w:suppressAutoHyphens/>
      <w:spacing w:after="0" w:line="240" w:lineRule="auto"/>
    </w:pPr>
    <w:rPr>
      <w:rFonts w:ascii="Times New Roman" w:eastAsia="Arial Unicode MS" w:hAnsi="Times New Roman" w:cs="Times New Roman"/>
      <w:kern w:val="1"/>
      <w:sz w:val="24"/>
      <w:szCs w:val="24"/>
      <w:lang w:val="es-ES_tradnl" w:eastAsia="ar-SA"/>
    </w:rPr>
  </w:style>
  <w:style w:type="paragraph" w:styleId="Ttulo1">
    <w:name w:val="heading 1"/>
    <w:basedOn w:val="Normal"/>
    <w:next w:val="Normal"/>
    <w:link w:val="Ttulo1Car"/>
    <w:qFormat/>
    <w:rsid w:val="001D3C29"/>
    <w:pPr>
      <w:widowControl/>
      <w:suppressAutoHyphens w:val="0"/>
      <w:autoSpaceDE w:val="0"/>
      <w:autoSpaceDN w:val="0"/>
      <w:adjustRightInd w:val="0"/>
      <w:jc w:val="center"/>
      <w:outlineLvl w:val="0"/>
    </w:pPr>
    <w:rPr>
      <w:rFonts w:ascii="Arial" w:eastAsia="Times New Roman" w:hAnsi="Arial" w:cs="Arial"/>
      <w:color w:val="000000"/>
      <w:kern w:val="0"/>
      <w:sz w:val="44"/>
      <w:szCs w:val="44"/>
      <w:lang w:val="es-ES" w:eastAsia="es-ES"/>
    </w:rPr>
  </w:style>
  <w:style w:type="paragraph" w:styleId="Ttulo2">
    <w:name w:val="heading 2"/>
    <w:basedOn w:val="Normal"/>
    <w:next w:val="Normal"/>
    <w:link w:val="Ttulo2Car"/>
    <w:qFormat/>
    <w:rsid w:val="001D3C29"/>
    <w:pPr>
      <w:keepNext/>
      <w:framePr w:hSpace="141" w:wrap="around" w:vAnchor="text" w:hAnchor="margin" w:y="151"/>
      <w:widowControl/>
      <w:suppressAutoHyphens w:val="0"/>
      <w:jc w:val="center"/>
      <w:outlineLvl w:val="1"/>
    </w:pPr>
    <w:rPr>
      <w:rFonts w:ascii="Arial" w:eastAsia="Times New Roman" w:hAnsi="Arial" w:cs="Arial"/>
      <w:b/>
      <w:bCs/>
      <w:kern w:val="0"/>
      <w:sz w:val="22"/>
      <w:lang w:val="en-US" w:eastAsia="es-ES"/>
    </w:rPr>
  </w:style>
  <w:style w:type="paragraph" w:styleId="Ttulo3">
    <w:name w:val="heading 3"/>
    <w:basedOn w:val="Normal"/>
    <w:next w:val="Normal"/>
    <w:link w:val="Ttulo3Car"/>
    <w:qFormat/>
    <w:rsid w:val="001D3C29"/>
    <w:pPr>
      <w:keepNext/>
      <w:widowControl/>
      <w:suppressAutoHyphens w:val="0"/>
      <w:outlineLvl w:val="2"/>
    </w:pPr>
    <w:rPr>
      <w:rFonts w:ascii="Arial" w:eastAsia="Times New Roman" w:hAnsi="Arial" w:cs="Arial"/>
      <w:b/>
      <w:color w:val="000000"/>
      <w:kern w:val="0"/>
      <w:lang w:val="es-ES" w:eastAsia="es-ES"/>
    </w:rPr>
  </w:style>
  <w:style w:type="paragraph" w:styleId="Ttulo4">
    <w:name w:val="heading 4"/>
    <w:basedOn w:val="Normal"/>
    <w:next w:val="Normal"/>
    <w:link w:val="Ttulo4Car"/>
    <w:semiHidden/>
    <w:unhideWhenUsed/>
    <w:qFormat/>
    <w:rsid w:val="001D3C29"/>
    <w:pPr>
      <w:keepNext/>
      <w:keepLines/>
      <w:widowControl/>
      <w:suppressAutoHyphens w:val="0"/>
      <w:spacing w:before="40"/>
      <w:outlineLvl w:val="3"/>
    </w:pPr>
    <w:rPr>
      <w:rFonts w:asciiTheme="majorHAnsi" w:eastAsiaTheme="majorEastAsia" w:hAnsiTheme="majorHAnsi" w:cstheme="majorBidi"/>
      <w:i/>
      <w:iCs/>
      <w:color w:val="365F91" w:themeColor="accent1" w:themeShade="BF"/>
      <w:kern w:val="0"/>
      <w:lang w:val="es-ES" w:eastAsia="es-ES"/>
    </w:rPr>
  </w:style>
  <w:style w:type="paragraph" w:styleId="Ttulo5">
    <w:name w:val="heading 5"/>
    <w:basedOn w:val="Normal"/>
    <w:next w:val="Normal"/>
    <w:link w:val="Ttulo5Car"/>
    <w:qFormat/>
    <w:rsid w:val="001D3C29"/>
    <w:pPr>
      <w:widowControl/>
      <w:suppressAutoHyphens w:val="0"/>
      <w:spacing w:before="240" w:after="60"/>
      <w:outlineLvl w:val="4"/>
    </w:pPr>
    <w:rPr>
      <w:rFonts w:ascii="Arial" w:eastAsia="Times New Roman" w:hAnsi="Arial"/>
      <w:b/>
      <w:bCs/>
      <w:i/>
      <w:iCs/>
      <w:kern w:val="0"/>
      <w:sz w:val="26"/>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07DA6"/>
    <w:pPr>
      <w:widowControl/>
      <w:tabs>
        <w:tab w:val="center" w:pos="4252"/>
        <w:tab w:val="right" w:pos="8504"/>
      </w:tabs>
      <w:suppressAutoHyphens w:val="0"/>
    </w:pPr>
    <w:rPr>
      <w:rFonts w:asciiTheme="minorHAnsi" w:eastAsiaTheme="minorHAnsi" w:hAnsiTheme="minorHAnsi" w:cstheme="minorBidi"/>
      <w:kern w:val="0"/>
      <w:sz w:val="22"/>
      <w:szCs w:val="22"/>
      <w:lang w:val="es-ES" w:eastAsia="en-US"/>
    </w:rPr>
  </w:style>
  <w:style w:type="character" w:customStyle="1" w:styleId="EncabezadoCar">
    <w:name w:val="Encabezado Car"/>
    <w:basedOn w:val="Fuentedeprrafopredeter"/>
    <w:link w:val="Encabezado"/>
    <w:uiPriority w:val="99"/>
    <w:rsid w:val="00207DA6"/>
  </w:style>
  <w:style w:type="paragraph" w:styleId="Piedepgina">
    <w:name w:val="footer"/>
    <w:basedOn w:val="Normal"/>
    <w:link w:val="PiedepginaCar"/>
    <w:unhideWhenUsed/>
    <w:rsid w:val="00207DA6"/>
    <w:pPr>
      <w:widowControl/>
      <w:tabs>
        <w:tab w:val="center" w:pos="4252"/>
        <w:tab w:val="right" w:pos="8504"/>
      </w:tabs>
      <w:suppressAutoHyphens w:val="0"/>
    </w:pPr>
    <w:rPr>
      <w:rFonts w:asciiTheme="minorHAnsi" w:eastAsiaTheme="minorHAnsi" w:hAnsiTheme="minorHAnsi" w:cstheme="minorBidi"/>
      <w:kern w:val="0"/>
      <w:sz w:val="22"/>
      <w:szCs w:val="22"/>
      <w:lang w:val="es-ES" w:eastAsia="en-US"/>
    </w:rPr>
  </w:style>
  <w:style w:type="character" w:customStyle="1" w:styleId="PiedepginaCar">
    <w:name w:val="Pie de página Car"/>
    <w:basedOn w:val="Fuentedeprrafopredeter"/>
    <w:link w:val="Piedepgina"/>
    <w:uiPriority w:val="99"/>
    <w:rsid w:val="00207DA6"/>
  </w:style>
  <w:style w:type="paragraph" w:styleId="Textodeglobo">
    <w:name w:val="Balloon Text"/>
    <w:basedOn w:val="Normal"/>
    <w:link w:val="TextodegloboCar"/>
    <w:unhideWhenUsed/>
    <w:rsid w:val="00207DA6"/>
    <w:pPr>
      <w:widowControl/>
      <w:suppressAutoHyphens w:val="0"/>
    </w:pPr>
    <w:rPr>
      <w:rFonts w:ascii="Tahoma" w:eastAsiaTheme="minorHAnsi" w:hAnsi="Tahoma" w:cs="Tahoma"/>
      <w:kern w:val="0"/>
      <w:sz w:val="16"/>
      <w:szCs w:val="16"/>
      <w:lang w:val="es-ES" w:eastAsia="en-US"/>
    </w:rPr>
  </w:style>
  <w:style w:type="character" w:customStyle="1" w:styleId="TextodegloboCar">
    <w:name w:val="Texto de globo Car"/>
    <w:basedOn w:val="Fuentedeprrafopredeter"/>
    <w:link w:val="Textodeglobo"/>
    <w:rsid w:val="00207DA6"/>
    <w:rPr>
      <w:rFonts w:ascii="Tahoma" w:hAnsi="Tahoma" w:cs="Tahoma"/>
      <w:sz w:val="16"/>
      <w:szCs w:val="16"/>
    </w:rPr>
  </w:style>
  <w:style w:type="paragraph" w:styleId="Sinespaciado">
    <w:name w:val="No Spacing"/>
    <w:uiPriority w:val="1"/>
    <w:qFormat/>
    <w:rsid w:val="00844685"/>
    <w:pPr>
      <w:spacing w:after="0" w:line="240" w:lineRule="auto"/>
    </w:pPr>
  </w:style>
  <w:style w:type="paragraph" w:styleId="Prrafodelista">
    <w:name w:val="List Paragraph"/>
    <w:basedOn w:val="Normal"/>
    <w:uiPriority w:val="34"/>
    <w:qFormat/>
    <w:rsid w:val="009D3654"/>
    <w:pPr>
      <w:widowControl/>
      <w:suppressAutoHyphens w:val="0"/>
      <w:spacing w:after="200" w:line="276" w:lineRule="auto"/>
      <w:ind w:left="720"/>
      <w:contextualSpacing/>
    </w:pPr>
    <w:rPr>
      <w:rFonts w:asciiTheme="minorHAnsi" w:eastAsiaTheme="minorHAnsi" w:hAnsiTheme="minorHAnsi" w:cstheme="minorBidi"/>
      <w:kern w:val="0"/>
      <w:sz w:val="22"/>
      <w:szCs w:val="22"/>
      <w:lang w:val="es-ES" w:eastAsia="en-US"/>
    </w:rPr>
  </w:style>
  <w:style w:type="character" w:customStyle="1" w:styleId="Ttulo1Car">
    <w:name w:val="Título 1 Car"/>
    <w:basedOn w:val="Fuentedeprrafopredeter"/>
    <w:link w:val="Ttulo1"/>
    <w:rsid w:val="001D3C29"/>
    <w:rPr>
      <w:rFonts w:ascii="Arial" w:eastAsia="Times New Roman" w:hAnsi="Arial" w:cs="Arial"/>
      <w:color w:val="000000"/>
      <w:sz w:val="44"/>
      <w:szCs w:val="44"/>
      <w:lang w:eastAsia="es-ES"/>
    </w:rPr>
  </w:style>
  <w:style w:type="character" w:customStyle="1" w:styleId="Ttulo2Car">
    <w:name w:val="Título 2 Car"/>
    <w:basedOn w:val="Fuentedeprrafopredeter"/>
    <w:link w:val="Ttulo2"/>
    <w:rsid w:val="001D3C29"/>
    <w:rPr>
      <w:rFonts w:ascii="Arial" w:eastAsia="Times New Roman" w:hAnsi="Arial" w:cs="Arial"/>
      <w:b/>
      <w:bCs/>
      <w:szCs w:val="24"/>
      <w:lang w:val="en-US" w:eastAsia="es-ES"/>
    </w:rPr>
  </w:style>
  <w:style w:type="character" w:customStyle="1" w:styleId="Ttulo3Car">
    <w:name w:val="Título 3 Car"/>
    <w:basedOn w:val="Fuentedeprrafopredeter"/>
    <w:link w:val="Ttulo3"/>
    <w:rsid w:val="001D3C29"/>
    <w:rPr>
      <w:rFonts w:ascii="Arial" w:eastAsia="Times New Roman" w:hAnsi="Arial" w:cs="Arial"/>
      <w:b/>
      <w:color w:val="000000"/>
      <w:sz w:val="24"/>
      <w:szCs w:val="24"/>
      <w:lang w:eastAsia="es-ES"/>
    </w:rPr>
  </w:style>
  <w:style w:type="character" w:customStyle="1" w:styleId="Ttulo4Car">
    <w:name w:val="Título 4 Car"/>
    <w:basedOn w:val="Fuentedeprrafopredeter"/>
    <w:link w:val="Ttulo4"/>
    <w:semiHidden/>
    <w:rsid w:val="001D3C29"/>
    <w:rPr>
      <w:rFonts w:asciiTheme="majorHAnsi" w:eastAsiaTheme="majorEastAsia" w:hAnsiTheme="majorHAnsi" w:cstheme="majorBidi"/>
      <w:i/>
      <w:iCs/>
      <w:color w:val="365F91" w:themeColor="accent1" w:themeShade="BF"/>
      <w:sz w:val="24"/>
      <w:szCs w:val="24"/>
      <w:lang w:eastAsia="es-ES"/>
    </w:rPr>
  </w:style>
  <w:style w:type="character" w:customStyle="1" w:styleId="Ttulo5Car">
    <w:name w:val="Título 5 Car"/>
    <w:basedOn w:val="Fuentedeprrafopredeter"/>
    <w:link w:val="Ttulo5"/>
    <w:rsid w:val="001D3C29"/>
    <w:rPr>
      <w:rFonts w:ascii="Arial" w:eastAsia="Times New Roman" w:hAnsi="Arial" w:cs="Times New Roman"/>
      <w:b/>
      <w:bCs/>
      <w:i/>
      <w:iCs/>
      <w:sz w:val="26"/>
      <w:szCs w:val="26"/>
      <w:lang w:eastAsia="es-ES"/>
    </w:rPr>
  </w:style>
  <w:style w:type="numbering" w:customStyle="1" w:styleId="Sinlista1">
    <w:name w:val="Sin lista1"/>
    <w:next w:val="Sinlista"/>
    <w:uiPriority w:val="99"/>
    <w:semiHidden/>
    <w:unhideWhenUsed/>
    <w:rsid w:val="001D3C29"/>
  </w:style>
  <w:style w:type="paragraph" w:styleId="NormalWeb">
    <w:name w:val="Normal (Web)"/>
    <w:basedOn w:val="Normal"/>
    <w:uiPriority w:val="99"/>
    <w:rsid w:val="001D3C29"/>
    <w:pPr>
      <w:widowControl/>
      <w:suppressAutoHyphens w:val="0"/>
      <w:spacing w:before="100" w:beforeAutospacing="1" w:after="100" w:afterAutospacing="1"/>
    </w:pPr>
    <w:rPr>
      <w:rFonts w:eastAsia="Times New Roman"/>
      <w:kern w:val="0"/>
      <w:lang w:val="es-ES" w:eastAsia="es-ES"/>
    </w:rPr>
  </w:style>
  <w:style w:type="paragraph" w:styleId="Textoindependiente">
    <w:name w:val="Body Text"/>
    <w:basedOn w:val="Normal"/>
    <w:link w:val="TextoindependienteCar"/>
    <w:rsid w:val="001D3C29"/>
    <w:pPr>
      <w:widowControl/>
      <w:suppressAutoHyphens w:val="0"/>
      <w:spacing w:after="120"/>
    </w:pPr>
    <w:rPr>
      <w:rFonts w:ascii="Arial" w:eastAsia="Times New Roman" w:hAnsi="Arial"/>
      <w:kern w:val="0"/>
      <w:lang w:val="es-ES" w:eastAsia="es-ES"/>
    </w:rPr>
  </w:style>
  <w:style w:type="character" w:customStyle="1" w:styleId="TextoindependienteCar">
    <w:name w:val="Texto independiente Car"/>
    <w:basedOn w:val="Fuentedeprrafopredeter"/>
    <w:link w:val="Textoindependiente"/>
    <w:rsid w:val="001D3C29"/>
    <w:rPr>
      <w:rFonts w:ascii="Arial" w:eastAsia="Times New Roman" w:hAnsi="Arial" w:cs="Times New Roman"/>
      <w:sz w:val="24"/>
      <w:szCs w:val="24"/>
      <w:lang w:eastAsia="es-ES"/>
    </w:rPr>
  </w:style>
  <w:style w:type="character" w:styleId="Hipervnculo">
    <w:name w:val="Hyperlink"/>
    <w:rsid w:val="001D3C29"/>
    <w:rPr>
      <w:color w:val="0000FF"/>
      <w:u w:val="single"/>
    </w:rPr>
  </w:style>
  <w:style w:type="character" w:styleId="Hipervnculovisitado">
    <w:name w:val="FollowedHyperlink"/>
    <w:rsid w:val="001D3C29"/>
    <w:rPr>
      <w:color w:val="800080"/>
      <w:u w:val="single"/>
    </w:rPr>
  </w:style>
  <w:style w:type="character" w:customStyle="1" w:styleId="ti2">
    <w:name w:val="ti2"/>
    <w:rsid w:val="001D3C29"/>
    <w:rPr>
      <w:sz w:val="22"/>
      <w:szCs w:val="22"/>
    </w:rPr>
  </w:style>
  <w:style w:type="paragraph" w:styleId="Sangradetextonormal">
    <w:name w:val="Body Text Indent"/>
    <w:basedOn w:val="Normal"/>
    <w:link w:val="SangradetextonormalCar"/>
    <w:rsid w:val="001D3C29"/>
    <w:pPr>
      <w:widowControl/>
      <w:suppressAutoHyphens w:val="0"/>
      <w:spacing w:after="120"/>
      <w:ind w:left="283"/>
    </w:pPr>
    <w:rPr>
      <w:rFonts w:ascii="Arial" w:eastAsia="Times New Roman" w:hAnsi="Arial"/>
      <w:kern w:val="0"/>
      <w:lang w:val="es-ES" w:eastAsia="es-ES"/>
    </w:rPr>
  </w:style>
  <w:style w:type="character" w:customStyle="1" w:styleId="SangradetextonormalCar">
    <w:name w:val="Sangría de texto normal Car"/>
    <w:basedOn w:val="Fuentedeprrafopredeter"/>
    <w:link w:val="Sangradetextonormal"/>
    <w:rsid w:val="001D3C29"/>
    <w:rPr>
      <w:rFonts w:ascii="Arial" w:eastAsia="Times New Roman" w:hAnsi="Arial" w:cs="Times New Roman"/>
      <w:sz w:val="24"/>
      <w:szCs w:val="24"/>
      <w:lang w:eastAsia="es-ES"/>
    </w:rPr>
  </w:style>
  <w:style w:type="paragraph" w:customStyle="1" w:styleId="Default">
    <w:name w:val="Default"/>
    <w:rsid w:val="001D3C29"/>
    <w:pPr>
      <w:autoSpaceDE w:val="0"/>
      <w:autoSpaceDN w:val="0"/>
      <w:adjustRightInd w:val="0"/>
      <w:spacing w:after="0" w:line="240" w:lineRule="auto"/>
    </w:pPr>
    <w:rPr>
      <w:rFonts w:ascii="Arial" w:eastAsia="Times New Roman" w:hAnsi="Arial" w:cs="Arial"/>
      <w:color w:val="000000"/>
      <w:sz w:val="24"/>
      <w:szCs w:val="24"/>
      <w:lang w:eastAsia="es-ES"/>
    </w:rPr>
  </w:style>
  <w:style w:type="character" w:styleId="Textoennegrita">
    <w:name w:val="Strong"/>
    <w:uiPriority w:val="22"/>
    <w:qFormat/>
    <w:rsid w:val="001D3C29"/>
    <w:rPr>
      <w:b/>
      <w:bCs/>
    </w:rPr>
  </w:style>
  <w:style w:type="table" w:styleId="Tablabsica1">
    <w:name w:val="Table Simple 1"/>
    <w:basedOn w:val="Tablanormal"/>
    <w:rsid w:val="001D3C29"/>
    <w:pPr>
      <w:spacing w:after="0" w:line="240" w:lineRule="auto"/>
    </w:pPr>
    <w:rPr>
      <w:rFonts w:ascii="Times New Roman" w:eastAsia="Times New Roman" w:hAnsi="Times New Roman" w:cs="Times New Roman"/>
      <w:sz w:val="20"/>
      <w:szCs w:val="20"/>
      <w:lang w:val="es-CO" w:eastAsia="es-CO"/>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concuadrcula">
    <w:name w:val="Table Grid"/>
    <w:basedOn w:val="Tablanormal"/>
    <w:rsid w:val="001D3C29"/>
    <w:pPr>
      <w:spacing w:after="0" w:line="240" w:lineRule="auto"/>
    </w:pPr>
    <w:rPr>
      <w:rFonts w:ascii="Times New Roman" w:eastAsia="Times New Roman" w:hAnsi="Times New Roman"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link w:val="SubttuloCar"/>
    <w:qFormat/>
    <w:rsid w:val="001D3C29"/>
    <w:pPr>
      <w:widowControl/>
      <w:suppressAutoHyphens w:val="0"/>
      <w:spacing w:after="60"/>
      <w:jc w:val="center"/>
      <w:outlineLvl w:val="1"/>
    </w:pPr>
    <w:rPr>
      <w:rFonts w:ascii="Cambria" w:eastAsia="Times New Roman" w:hAnsi="Cambria"/>
      <w:kern w:val="0"/>
    </w:rPr>
  </w:style>
  <w:style w:type="character" w:customStyle="1" w:styleId="SubttuloCar">
    <w:name w:val="Subtítulo Car"/>
    <w:basedOn w:val="Fuentedeprrafopredeter"/>
    <w:link w:val="Subttulo"/>
    <w:rsid w:val="001D3C29"/>
    <w:rPr>
      <w:rFonts w:ascii="Cambria" w:eastAsia="Times New Roman" w:hAnsi="Cambria" w:cs="Times New Roman"/>
      <w:sz w:val="24"/>
      <w:szCs w:val="24"/>
    </w:rPr>
  </w:style>
  <w:style w:type="character" w:customStyle="1" w:styleId="apple-style-span">
    <w:name w:val="apple-style-span"/>
    <w:basedOn w:val="Fuentedeprrafopredeter"/>
    <w:rsid w:val="001D3C29"/>
  </w:style>
  <w:style w:type="character" w:customStyle="1" w:styleId="apple-converted-space">
    <w:name w:val="apple-converted-space"/>
    <w:basedOn w:val="Fuentedeprrafopredeter"/>
    <w:rsid w:val="001D3C29"/>
  </w:style>
  <w:style w:type="character" w:customStyle="1" w:styleId="hps">
    <w:name w:val="hps"/>
    <w:basedOn w:val="Fuentedeprrafopredeter"/>
    <w:rsid w:val="001D3C29"/>
  </w:style>
  <w:style w:type="character" w:customStyle="1" w:styleId="gt-icon-text1">
    <w:name w:val="gt-icon-text1"/>
    <w:basedOn w:val="Fuentedeprrafopredeter"/>
    <w:rsid w:val="001D3C29"/>
  </w:style>
  <w:style w:type="character" w:customStyle="1" w:styleId="citation-publication-date">
    <w:name w:val="citation-publication-date"/>
    <w:basedOn w:val="Fuentedeprrafopredeter"/>
    <w:rsid w:val="001D3C29"/>
  </w:style>
  <w:style w:type="paragraph" w:customStyle="1" w:styleId="title1">
    <w:name w:val="title1"/>
    <w:basedOn w:val="Normal"/>
    <w:rsid w:val="001D3C29"/>
    <w:pPr>
      <w:widowControl/>
      <w:suppressAutoHyphens w:val="0"/>
    </w:pPr>
    <w:rPr>
      <w:rFonts w:eastAsia="Times New Roman"/>
      <w:kern w:val="0"/>
      <w:sz w:val="29"/>
      <w:szCs w:val="29"/>
      <w:lang w:val="es-CO" w:eastAsia="es-CO"/>
    </w:rPr>
  </w:style>
  <w:style w:type="paragraph" w:customStyle="1" w:styleId="desc1">
    <w:name w:val="desc1"/>
    <w:basedOn w:val="Normal"/>
    <w:rsid w:val="001D3C29"/>
    <w:pPr>
      <w:widowControl/>
      <w:suppressAutoHyphens w:val="0"/>
      <w:spacing w:before="100" w:beforeAutospacing="1" w:after="100" w:afterAutospacing="1"/>
    </w:pPr>
    <w:rPr>
      <w:rFonts w:eastAsia="Times New Roman"/>
      <w:kern w:val="0"/>
      <w:sz w:val="28"/>
      <w:szCs w:val="28"/>
      <w:lang w:val="es-CO" w:eastAsia="es-CO"/>
    </w:rPr>
  </w:style>
  <w:style w:type="character" w:customStyle="1" w:styleId="jrnl">
    <w:name w:val="jrnl"/>
    <w:basedOn w:val="Fuentedeprrafopredeter"/>
    <w:rsid w:val="001D3C29"/>
  </w:style>
  <w:style w:type="character" w:customStyle="1" w:styleId="src1">
    <w:name w:val="src1"/>
    <w:rsid w:val="001D3C29"/>
    <w:rPr>
      <w:vanish w:val="0"/>
      <w:webHidden w:val="0"/>
      <w:specVanish w:val="0"/>
    </w:rPr>
  </w:style>
  <w:style w:type="paragraph" w:customStyle="1" w:styleId="authlist">
    <w:name w:val="auth_list"/>
    <w:basedOn w:val="Normal"/>
    <w:rsid w:val="001D3C29"/>
    <w:pPr>
      <w:widowControl/>
      <w:suppressAutoHyphens w:val="0"/>
      <w:spacing w:before="100" w:beforeAutospacing="1" w:after="100" w:afterAutospacing="1"/>
    </w:pPr>
    <w:rPr>
      <w:rFonts w:eastAsia="Times New Roman"/>
      <w:kern w:val="0"/>
      <w:lang w:val="es-ES" w:eastAsia="es-ES"/>
    </w:rPr>
  </w:style>
  <w:style w:type="paragraph" w:customStyle="1" w:styleId="Prrafodelista1">
    <w:name w:val="Párrafo de lista1"/>
    <w:basedOn w:val="Normal"/>
    <w:rsid w:val="001D3C29"/>
    <w:pPr>
      <w:widowControl/>
      <w:suppressAutoHyphens w:val="0"/>
      <w:spacing w:after="200" w:line="276" w:lineRule="auto"/>
      <w:ind w:left="720"/>
      <w:contextualSpacing/>
    </w:pPr>
    <w:rPr>
      <w:rFonts w:ascii="Calibri" w:eastAsia="Times New Roman" w:hAnsi="Calibri"/>
      <w:kern w:val="0"/>
      <w:sz w:val="22"/>
      <w:szCs w:val="22"/>
      <w:lang w:val="es-CO" w:eastAsia="en-US"/>
    </w:rPr>
  </w:style>
  <w:style w:type="character" w:customStyle="1" w:styleId="st1">
    <w:name w:val="st1"/>
    <w:basedOn w:val="Fuentedeprrafopredeter"/>
    <w:rsid w:val="001D3C29"/>
  </w:style>
  <w:style w:type="character" w:customStyle="1" w:styleId="ft">
    <w:name w:val="ft"/>
    <w:basedOn w:val="Fuentedeprrafopredeter"/>
    <w:rsid w:val="001D3C29"/>
  </w:style>
  <w:style w:type="table" w:styleId="Tablaclsica1">
    <w:name w:val="Table Classic 1"/>
    <w:basedOn w:val="Tablanormal"/>
    <w:rsid w:val="001D3C29"/>
    <w:pPr>
      <w:spacing w:after="0" w:line="240" w:lineRule="auto"/>
    </w:pPr>
    <w:rPr>
      <w:rFonts w:ascii="Times New Roman" w:eastAsia="Times New Roman" w:hAnsi="Times New Roman" w:cs="Times New Roman"/>
      <w:sz w:val="20"/>
      <w:szCs w:val="20"/>
      <w:lang w:val="es-CO" w:eastAsia="es-C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bsica2">
    <w:name w:val="Table Simple 2"/>
    <w:basedOn w:val="Tablanormal"/>
    <w:rsid w:val="001D3C29"/>
    <w:pPr>
      <w:spacing w:after="0" w:line="240" w:lineRule="auto"/>
    </w:pPr>
    <w:rPr>
      <w:rFonts w:ascii="Times New Roman" w:eastAsia="Times New Roman" w:hAnsi="Times New Roman" w:cs="Times New Roman"/>
      <w:sz w:val="20"/>
      <w:szCs w:val="20"/>
      <w:lang w:val="es-CO" w:eastAsia="es-CO"/>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clsica2">
    <w:name w:val="Table Classic 2"/>
    <w:basedOn w:val="Tablanormal"/>
    <w:rsid w:val="001D3C29"/>
    <w:pPr>
      <w:spacing w:after="0" w:line="240" w:lineRule="auto"/>
    </w:pPr>
    <w:rPr>
      <w:rFonts w:ascii="Times New Roman" w:eastAsia="Times New Roman" w:hAnsi="Times New Roman" w:cs="Times New Roman"/>
      <w:sz w:val="20"/>
      <w:szCs w:val="20"/>
      <w:lang w:val="es-CO" w:eastAsia="es-C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onlista4">
    <w:name w:val="Table List 4"/>
    <w:basedOn w:val="Tablanormal"/>
    <w:rsid w:val="001D3C29"/>
    <w:pPr>
      <w:spacing w:after="0" w:line="240" w:lineRule="auto"/>
    </w:pPr>
    <w:rPr>
      <w:rFonts w:ascii="Times New Roman" w:eastAsia="Times New Roman" w:hAnsi="Times New Roman" w:cs="Times New Roman"/>
      <w:sz w:val="20"/>
      <w:szCs w:val="20"/>
      <w:lang w:val="es-CO" w:eastAsia="es-CO"/>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efectos3D1">
    <w:name w:val="Table 3D effects 1"/>
    <w:basedOn w:val="Tablanormal"/>
    <w:rsid w:val="001D3C29"/>
    <w:pPr>
      <w:spacing w:after="0" w:line="240" w:lineRule="auto"/>
    </w:pPr>
    <w:rPr>
      <w:rFonts w:ascii="Times New Roman" w:eastAsia="Times New Roman" w:hAnsi="Times New Roman" w:cs="Times New Roman"/>
      <w:sz w:val="20"/>
      <w:szCs w:val="20"/>
      <w:lang w:val="es-CO" w:eastAsia="es-CO"/>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lista3">
    <w:name w:val="Table List 3"/>
    <w:basedOn w:val="Tablanormal"/>
    <w:rsid w:val="001D3C29"/>
    <w:pPr>
      <w:spacing w:after="0" w:line="240" w:lineRule="auto"/>
    </w:pPr>
    <w:rPr>
      <w:rFonts w:ascii="Times New Roman" w:eastAsia="Times New Roman" w:hAnsi="Times New Roman" w:cs="Times New Roman"/>
      <w:sz w:val="20"/>
      <w:szCs w:val="20"/>
      <w:lang w:val="es-CO" w:eastAsia="es-CO"/>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customStyle="1" w:styleId="Puesto1">
    <w:name w:val="Puesto1"/>
    <w:basedOn w:val="Normal"/>
    <w:rsid w:val="001D3C29"/>
    <w:pPr>
      <w:widowControl/>
      <w:suppressAutoHyphens w:val="0"/>
      <w:spacing w:before="100" w:beforeAutospacing="1" w:after="100" w:afterAutospacing="1"/>
    </w:pPr>
    <w:rPr>
      <w:rFonts w:eastAsia="Times New Roman"/>
      <w:kern w:val="0"/>
      <w:lang w:val="es-CO" w:eastAsia="es-CO"/>
    </w:rPr>
  </w:style>
  <w:style w:type="paragraph" w:customStyle="1" w:styleId="desc">
    <w:name w:val="desc"/>
    <w:basedOn w:val="Normal"/>
    <w:rsid w:val="001D3C29"/>
    <w:pPr>
      <w:widowControl/>
      <w:suppressAutoHyphens w:val="0"/>
      <w:spacing w:before="100" w:beforeAutospacing="1" w:after="100" w:afterAutospacing="1"/>
    </w:pPr>
    <w:rPr>
      <w:rFonts w:eastAsia="Times New Roman"/>
      <w:kern w:val="0"/>
      <w:lang w:val="es-CO" w:eastAsia="es-CO"/>
    </w:rPr>
  </w:style>
  <w:style w:type="paragraph" w:customStyle="1" w:styleId="details">
    <w:name w:val="details"/>
    <w:basedOn w:val="Normal"/>
    <w:rsid w:val="001D3C29"/>
    <w:pPr>
      <w:widowControl/>
      <w:suppressAutoHyphens w:val="0"/>
      <w:spacing w:before="100" w:beforeAutospacing="1" w:after="100" w:afterAutospacing="1"/>
    </w:pPr>
    <w:rPr>
      <w:rFonts w:eastAsia="Times New Roman"/>
      <w:kern w:val="0"/>
      <w:lang w:val="es-CO" w:eastAsia="es-CO"/>
    </w:rPr>
  </w:style>
  <w:style w:type="character" w:customStyle="1" w:styleId="longtextshorttext">
    <w:name w:val="long_text short_text"/>
    <w:rsid w:val="001D3C29"/>
  </w:style>
  <w:style w:type="character" w:customStyle="1" w:styleId="shorttext">
    <w:name w:val="short_text"/>
    <w:rsid w:val="001D3C29"/>
  </w:style>
  <w:style w:type="character" w:customStyle="1" w:styleId="longtext">
    <w:name w:val="long_text"/>
    <w:rsid w:val="001D3C29"/>
  </w:style>
  <w:style w:type="character" w:customStyle="1" w:styleId="atn">
    <w:name w:val="atn"/>
    <w:rsid w:val="001D3C29"/>
  </w:style>
  <w:style w:type="character" w:customStyle="1" w:styleId="hpsatn">
    <w:name w:val="hps atn"/>
    <w:rsid w:val="001D3C29"/>
  </w:style>
  <w:style w:type="paragraph" w:customStyle="1" w:styleId="desc2">
    <w:name w:val="desc2"/>
    <w:basedOn w:val="Normal"/>
    <w:rsid w:val="001D3C29"/>
    <w:pPr>
      <w:widowControl/>
      <w:suppressAutoHyphens w:val="0"/>
      <w:spacing w:before="100" w:beforeAutospacing="1" w:after="100" w:afterAutospacing="1"/>
    </w:pPr>
    <w:rPr>
      <w:rFonts w:eastAsia="Times New Roman"/>
      <w:kern w:val="0"/>
      <w:sz w:val="28"/>
      <w:szCs w:val="28"/>
      <w:lang w:val="es-CO" w:eastAsia="es-CO"/>
    </w:rPr>
  </w:style>
  <w:style w:type="paragraph" w:customStyle="1" w:styleId="details1">
    <w:name w:val="details1"/>
    <w:basedOn w:val="Normal"/>
    <w:rsid w:val="001D3C29"/>
    <w:pPr>
      <w:widowControl/>
      <w:suppressAutoHyphens w:val="0"/>
      <w:spacing w:before="100" w:beforeAutospacing="1" w:after="100" w:afterAutospacing="1"/>
    </w:pPr>
    <w:rPr>
      <w:rFonts w:eastAsia="Times New Roman"/>
      <w:kern w:val="0"/>
      <w:lang w:val="es-CO" w:eastAsia="es-CO"/>
    </w:rPr>
  </w:style>
  <w:style w:type="paragraph" w:styleId="Sangra3detindependiente">
    <w:name w:val="Body Text Indent 3"/>
    <w:basedOn w:val="Normal"/>
    <w:link w:val="Sangra3detindependienteCar"/>
    <w:rsid w:val="001D3C29"/>
    <w:pPr>
      <w:widowControl/>
      <w:suppressAutoHyphens w:val="0"/>
      <w:spacing w:after="120"/>
      <w:ind w:left="283"/>
    </w:pPr>
    <w:rPr>
      <w:rFonts w:ascii="Arial" w:eastAsia="Times New Roman" w:hAnsi="Arial"/>
      <w:kern w:val="0"/>
      <w:sz w:val="16"/>
      <w:szCs w:val="16"/>
      <w:lang w:val="es-ES" w:eastAsia="es-ES"/>
    </w:rPr>
  </w:style>
  <w:style w:type="character" w:customStyle="1" w:styleId="Sangra3detindependienteCar">
    <w:name w:val="Sangría 3 de t. independiente Car"/>
    <w:basedOn w:val="Fuentedeprrafopredeter"/>
    <w:link w:val="Sangra3detindependiente"/>
    <w:rsid w:val="001D3C29"/>
    <w:rPr>
      <w:rFonts w:ascii="Arial" w:eastAsia="Times New Roman" w:hAnsi="Arial" w:cs="Times New Roman"/>
      <w:sz w:val="16"/>
      <w:szCs w:val="16"/>
      <w:lang w:eastAsia="es-ES"/>
    </w:rPr>
  </w:style>
  <w:style w:type="character" w:customStyle="1" w:styleId="WW-Fuentedeprrafopredeter">
    <w:name w:val="WW-Fuente de párrafo predeter."/>
    <w:rsid w:val="001D3C29"/>
  </w:style>
  <w:style w:type="character" w:styleId="Refdecomentario">
    <w:name w:val="annotation reference"/>
    <w:basedOn w:val="Fuentedeprrafopredeter"/>
    <w:uiPriority w:val="99"/>
    <w:semiHidden/>
    <w:unhideWhenUsed/>
    <w:rsid w:val="001D3C29"/>
    <w:rPr>
      <w:sz w:val="16"/>
      <w:szCs w:val="16"/>
    </w:rPr>
  </w:style>
  <w:style w:type="paragraph" w:styleId="Textocomentario">
    <w:name w:val="annotation text"/>
    <w:basedOn w:val="Normal"/>
    <w:link w:val="TextocomentarioCar"/>
    <w:uiPriority w:val="99"/>
    <w:semiHidden/>
    <w:unhideWhenUsed/>
    <w:rsid w:val="001D3C29"/>
    <w:pPr>
      <w:widowControl/>
      <w:suppressAutoHyphens w:val="0"/>
    </w:pPr>
    <w:rPr>
      <w:rFonts w:ascii="Arial" w:eastAsia="Times New Roman" w:hAnsi="Arial"/>
      <w:kern w:val="0"/>
      <w:sz w:val="20"/>
      <w:szCs w:val="20"/>
      <w:lang w:val="es-ES" w:eastAsia="es-ES"/>
    </w:rPr>
  </w:style>
  <w:style w:type="character" w:customStyle="1" w:styleId="TextocomentarioCar">
    <w:name w:val="Texto comentario Car"/>
    <w:basedOn w:val="Fuentedeprrafopredeter"/>
    <w:link w:val="Textocomentario"/>
    <w:uiPriority w:val="99"/>
    <w:semiHidden/>
    <w:rsid w:val="001D3C29"/>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semiHidden/>
    <w:unhideWhenUsed/>
    <w:rsid w:val="001D3C29"/>
    <w:rPr>
      <w:b/>
      <w:bCs/>
    </w:rPr>
  </w:style>
  <w:style w:type="character" w:customStyle="1" w:styleId="AsuntodelcomentarioCar">
    <w:name w:val="Asunto del comentario Car"/>
    <w:basedOn w:val="TextocomentarioCar"/>
    <w:link w:val="Asuntodelcomentario"/>
    <w:semiHidden/>
    <w:rsid w:val="001D3C29"/>
    <w:rPr>
      <w:rFonts w:ascii="Arial" w:eastAsia="Times New Roman" w:hAnsi="Arial"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unep.org/transport/pcfv/pdf/brescia-declaration.pdf" TargetMode="External"/><Relationship Id="rId18" Type="http://schemas.openxmlformats.org/officeDocument/2006/relationships/hyperlink" Target="http://www.salud.gob.mx/unidades/cdi/nom/199ssa10.html"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www.msssi.gob.es/ciudadanos/saludAmbLaboral/docs/plomo.pdf" TargetMode="External"/><Relationship Id="rId7" Type="http://schemas.openxmlformats.org/officeDocument/2006/relationships/endnotes" Target="endnotes.xml"/><Relationship Id="rId12" Type="http://schemas.openxmlformats.org/officeDocument/2006/relationships/hyperlink" Target="http://www.unep.org/transport/pcfv/pdf/brescia-declaration.pdf" TargetMode="External"/><Relationship Id="rId17" Type="http://schemas.openxmlformats.org/officeDocument/2006/relationships/hyperlink" Target="http://www.salud.gob.mx/unidades/cdi/nom/199ssa10.htm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salud.gob.mx/unidades/cdi/nom/199ssa10.html" TargetMode="External"/><Relationship Id="rId20" Type="http://schemas.openxmlformats.org/officeDocument/2006/relationships/hyperlink" Target="http://www.salud.gob.mx/unidades/cdi/nom/199ssa10.htm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salud.gob.mx/unidades/cdi/nom/199ssa10.html"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tsdr.cdc.gov/es/csem/plomo/es_pb-normas.html" TargetMode="External"/><Relationship Id="rId23" Type="http://schemas.openxmlformats.org/officeDocument/2006/relationships/header" Target="header2.xml"/><Relationship Id="rId10" Type="http://schemas.openxmlformats.org/officeDocument/2006/relationships/hyperlink" Target="http://www.lexjuris.com/lexlex/Leyes2011/lexl2011039.htm" TargetMode="External"/><Relationship Id="rId19" Type="http://schemas.openxmlformats.org/officeDocument/2006/relationships/hyperlink" Target="http://www.salud.gob.mx/unidades/cdi/nom/199ssa10.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tsdr.cdc.gov/es/csem/plomo/es_pb-normas.html" TargetMode="External"/><Relationship Id="rId22" Type="http://schemas.openxmlformats.org/officeDocument/2006/relationships/hyperlink" Target="http://dof.gob.mx/nota_detalle.php?codigo=5249877&amp;fecha=06/06/201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7579</Words>
  <Characters>41689</Characters>
  <Application>Microsoft Office Word</Application>
  <DocSecurity>4</DocSecurity>
  <Lines>347</Lines>
  <Paragraphs>98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USR001</dc:creator>
  <cp:lastModifiedBy>Admin</cp:lastModifiedBy>
  <cp:revision>2</cp:revision>
  <cp:lastPrinted>2014-09-16T20:19:00Z</cp:lastPrinted>
  <dcterms:created xsi:type="dcterms:W3CDTF">2015-03-25T22:17:00Z</dcterms:created>
  <dcterms:modified xsi:type="dcterms:W3CDTF">2015-03-25T22:17:00Z</dcterms:modified>
</cp:coreProperties>
</file>