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FBF" w:rsidRPr="003C2AFE" w:rsidRDefault="00CD6FBF" w:rsidP="00CD6FBF">
      <w:pPr>
        <w:pStyle w:val="NormalWeb"/>
        <w:jc w:val="center"/>
        <w:rPr>
          <w:rFonts w:ascii="Century Gothic" w:hAnsi="Century Gothic" w:cs="Arial"/>
          <w:sz w:val="20"/>
          <w:szCs w:val="20"/>
        </w:rPr>
      </w:pPr>
      <w:r w:rsidRPr="003C2AFE">
        <w:rPr>
          <w:rStyle w:val="Textoennegrita"/>
          <w:rFonts w:ascii="Century Gothic" w:hAnsi="Century Gothic" w:cs="Arial"/>
          <w:sz w:val="20"/>
          <w:szCs w:val="20"/>
        </w:rPr>
        <w:t xml:space="preserve">PROYECTO DE LEY </w:t>
      </w:r>
      <w:r w:rsidR="00173062">
        <w:rPr>
          <w:rStyle w:val="Textoennegrita"/>
          <w:rFonts w:ascii="Century Gothic" w:hAnsi="Century Gothic" w:cs="Arial"/>
          <w:sz w:val="20"/>
          <w:szCs w:val="20"/>
        </w:rPr>
        <w:t xml:space="preserve">106 </w:t>
      </w:r>
      <w:bookmarkStart w:id="0" w:name="_GoBack"/>
      <w:bookmarkEnd w:id="0"/>
      <w:r w:rsidRPr="003C2AFE">
        <w:rPr>
          <w:rStyle w:val="Textoennegrita"/>
          <w:rFonts w:ascii="Century Gothic" w:hAnsi="Century Gothic" w:cs="Arial"/>
          <w:sz w:val="20"/>
          <w:szCs w:val="20"/>
        </w:rPr>
        <w:t xml:space="preserve">de 2014 SENADO </w:t>
      </w:r>
    </w:p>
    <w:p w:rsidR="00CD6FBF" w:rsidRPr="003C2AFE" w:rsidRDefault="00CD6FBF" w:rsidP="00CD6FBF">
      <w:pPr>
        <w:jc w:val="center"/>
        <w:rPr>
          <w:rFonts w:ascii="Century Gothic" w:hAnsi="Century Gothic" w:cs="Arial"/>
          <w:i/>
          <w:sz w:val="20"/>
          <w:szCs w:val="20"/>
          <w:lang w:val="es-ES"/>
        </w:rPr>
      </w:pPr>
      <w:r w:rsidRPr="003C2AFE">
        <w:rPr>
          <w:rFonts w:ascii="Century Gothic" w:hAnsi="Century Gothic" w:cs="Arial"/>
          <w:i/>
          <w:sz w:val="20"/>
          <w:szCs w:val="20"/>
          <w:lang w:val="es-ES"/>
        </w:rPr>
        <w:t xml:space="preserve">“Por medio de la cual se </w:t>
      </w:r>
      <w:r w:rsidR="009005E3" w:rsidRPr="003C2AFE">
        <w:rPr>
          <w:rFonts w:ascii="Century Gothic" w:hAnsi="Century Gothic" w:cs="Arial"/>
          <w:i/>
          <w:sz w:val="20"/>
          <w:szCs w:val="20"/>
          <w:lang w:val="es-ES"/>
        </w:rPr>
        <w:t xml:space="preserve">modifica el artículo 66 </w:t>
      </w:r>
      <w:r w:rsidRPr="003C2AFE">
        <w:rPr>
          <w:rFonts w:ascii="Century Gothic" w:hAnsi="Century Gothic" w:cs="Arial"/>
          <w:i/>
          <w:sz w:val="20"/>
          <w:szCs w:val="20"/>
          <w:lang w:val="es-ES"/>
        </w:rPr>
        <w:t>de la ley 30 de 1992”</w:t>
      </w:r>
    </w:p>
    <w:p w:rsidR="00CD6FBF" w:rsidRPr="003C2AFE" w:rsidRDefault="00CD6FBF" w:rsidP="00CD6FBF">
      <w:pPr>
        <w:adjustRightInd w:val="0"/>
        <w:spacing w:before="45" w:after="45" w:line="288" w:lineRule="auto"/>
        <w:jc w:val="center"/>
        <w:textAlignment w:val="center"/>
        <w:rPr>
          <w:rFonts w:ascii="Century Gothic" w:hAnsi="Century Gothic" w:cs="Arial"/>
          <w:sz w:val="20"/>
          <w:szCs w:val="20"/>
          <w:lang w:val="es-ES_tradnl"/>
        </w:rPr>
      </w:pPr>
      <w:r w:rsidRPr="003C2AFE">
        <w:rPr>
          <w:rFonts w:ascii="Century Gothic" w:hAnsi="Century Gothic" w:cs="Arial"/>
          <w:sz w:val="20"/>
          <w:szCs w:val="20"/>
          <w:lang w:val="es-ES_tradnl"/>
        </w:rPr>
        <w:t>El Congreso de Colombia</w:t>
      </w:r>
    </w:p>
    <w:p w:rsidR="00CD6FBF" w:rsidRPr="003C2AFE" w:rsidRDefault="00CD6FBF" w:rsidP="00CD6FBF">
      <w:pPr>
        <w:adjustRightInd w:val="0"/>
        <w:spacing w:before="45" w:after="45" w:line="288" w:lineRule="auto"/>
        <w:jc w:val="center"/>
        <w:textAlignment w:val="center"/>
        <w:rPr>
          <w:rFonts w:ascii="Century Gothic" w:hAnsi="Century Gothic" w:cs="Arial"/>
          <w:sz w:val="20"/>
          <w:szCs w:val="20"/>
          <w:lang w:val="es-ES_tradnl"/>
        </w:rPr>
      </w:pPr>
    </w:p>
    <w:p w:rsidR="00CD6FBF" w:rsidRPr="003C2AFE" w:rsidRDefault="00CD6FBF" w:rsidP="00CD6FBF">
      <w:pPr>
        <w:adjustRightInd w:val="0"/>
        <w:spacing w:before="45" w:after="45" w:line="288" w:lineRule="auto"/>
        <w:jc w:val="center"/>
        <w:textAlignment w:val="center"/>
        <w:rPr>
          <w:rFonts w:ascii="Century Gothic" w:hAnsi="Century Gothic" w:cs="Arial"/>
          <w:sz w:val="20"/>
          <w:szCs w:val="20"/>
          <w:lang w:val="es-ES_tradnl"/>
        </w:rPr>
      </w:pPr>
      <w:r w:rsidRPr="003C2AFE">
        <w:rPr>
          <w:rFonts w:ascii="Century Gothic" w:hAnsi="Century Gothic" w:cs="Arial"/>
          <w:sz w:val="20"/>
          <w:szCs w:val="20"/>
          <w:lang w:val="es-ES_tradnl"/>
        </w:rPr>
        <w:t>DECRETA:</w:t>
      </w:r>
    </w:p>
    <w:p w:rsidR="00D118D4" w:rsidRPr="003C2AFE" w:rsidRDefault="00D118D4" w:rsidP="003B7291">
      <w:pPr>
        <w:spacing w:after="0"/>
        <w:jc w:val="both"/>
        <w:rPr>
          <w:rFonts w:ascii="Century Gothic" w:hAnsi="Century Gothic" w:cs="Arial"/>
          <w:sz w:val="20"/>
          <w:szCs w:val="20"/>
        </w:rPr>
      </w:pPr>
    </w:p>
    <w:p w:rsidR="00D118D4" w:rsidRPr="003C2AFE" w:rsidRDefault="00E45A7E" w:rsidP="003B7291">
      <w:pPr>
        <w:spacing w:after="0"/>
        <w:jc w:val="both"/>
        <w:rPr>
          <w:rFonts w:ascii="Century Gothic" w:hAnsi="Century Gothic" w:cs="Arial"/>
          <w:sz w:val="20"/>
          <w:szCs w:val="20"/>
        </w:rPr>
      </w:pPr>
      <w:r w:rsidRPr="003C2AFE">
        <w:rPr>
          <w:rFonts w:ascii="Century Gothic" w:hAnsi="Century Gothic" w:cs="Arial"/>
          <w:sz w:val="20"/>
          <w:szCs w:val="20"/>
        </w:rPr>
        <w:t>Artículo</w:t>
      </w:r>
      <w:r w:rsidR="00D118D4" w:rsidRPr="003C2AFE">
        <w:rPr>
          <w:rFonts w:ascii="Century Gothic" w:hAnsi="Century Gothic" w:cs="Arial"/>
          <w:sz w:val="20"/>
          <w:szCs w:val="20"/>
        </w:rPr>
        <w:t xml:space="preserve"> </w:t>
      </w:r>
      <w:r w:rsidRPr="003C2AFE">
        <w:rPr>
          <w:rFonts w:ascii="Century Gothic" w:hAnsi="Century Gothic" w:cs="Arial"/>
          <w:sz w:val="20"/>
          <w:szCs w:val="20"/>
        </w:rPr>
        <w:t>1.</w:t>
      </w:r>
      <w:r w:rsidR="00D118D4" w:rsidRPr="003C2AFE">
        <w:rPr>
          <w:rFonts w:ascii="Century Gothic" w:hAnsi="Century Gothic" w:cs="Arial"/>
          <w:sz w:val="20"/>
          <w:szCs w:val="20"/>
        </w:rPr>
        <w:t xml:space="preserve"> </w:t>
      </w:r>
      <w:r w:rsidR="00F03EC9" w:rsidRPr="003C2AFE">
        <w:rPr>
          <w:rFonts w:ascii="Century Gothic" w:hAnsi="Century Gothic" w:cs="Arial"/>
          <w:sz w:val="20"/>
          <w:szCs w:val="20"/>
        </w:rPr>
        <w:t xml:space="preserve">Modificar el artículo 66 de la </w:t>
      </w:r>
      <w:r w:rsidR="009329F1" w:rsidRPr="003C2AFE">
        <w:rPr>
          <w:rFonts w:ascii="Century Gothic" w:hAnsi="Century Gothic" w:cs="Arial"/>
          <w:sz w:val="20"/>
          <w:szCs w:val="20"/>
        </w:rPr>
        <w:t xml:space="preserve">ley 30 </w:t>
      </w:r>
      <w:r w:rsidRPr="003C2AFE">
        <w:rPr>
          <w:rFonts w:ascii="Century Gothic" w:hAnsi="Century Gothic" w:cs="Arial"/>
          <w:sz w:val="20"/>
          <w:szCs w:val="20"/>
        </w:rPr>
        <w:t>de 199</w:t>
      </w:r>
      <w:r w:rsidR="007450C5" w:rsidRPr="003C2AFE">
        <w:rPr>
          <w:rFonts w:ascii="Century Gothic" w:hAnsi="Century Gothic" w:cs="Arial"/>
          <w:sz w:val="20"/>
          <w:szCs w:val="20"/>
        </w:rPr>
        <w:t>2</w:t>
      </w:r>
      <w:r w:rsidRPr="003C2AFE">
        <w:rPr>
          <w:rFonts w:ascii="Century Gothic" w:hAnsi="Century Gothic" w:cs="Arial"/>
          <w:sz w:val="20"/>
          <w:szCs w:val="20"/>
        </w:rPr>
        <w:t xml:space="preserve">, </w:t>
      </w:r>
      <w:r w:rsidR="009329F1" w:rsidRPr="003C2AFE">
        <w:rPr>
          <w:rFonts w:ascii="Century Gothic" w:hAnsi="Century Gothic" w:cs="Arial"/>
          <w:sz w:val="20"/>
          <w:szCs w:val="20"/>
        </w:rPr>
        <w:t xml:space="preserve">el cual quedará así:  </w:t>
      </w:r>
    </w:p>
    <w:p w:rsidR="00D118D4" w:rsidRPr="003C2AFE" w:rsidRDefault="00D118D4" w:rsidP="003B7291">
      <w:pPr>
        <w:spacing w:after="0"/>
        <w:jc w:val="both"/>
        <w:rPr>
          <w:rFonts w:ascii="Century Gothic" w:hAnsi="Century Gothic" w:cs="Arial"/>
          <w:sz w:val="20"/>
          <w:szCs w:val="20"/>
        </w:rPr>
      </w:pPr>
    </w:p>
    <w:p w:rsidR="00D118D4" w:rsidRPr="003C2AFE" w:rsidRDefault="00E45A7E" w:rsidP="00E445FF">
      <w:pPr>
        <w:spacing w:after="0"/>
        <w:ind w:left="851" w:right="2175"/>
        <w:jc w:val="both"/>
        <w:rPr>
          <w:rFonts w:ascii="Century Gothic" w:hAnsi="Century Gothic" w:cs="Arial"/>
          <w:sz w:val="20"/>
          <w:szCs w:val="20"/>
        </w:rPr>
      </w:pPr>
      <w:r w:rsidRPr="003C2AFE">
        <w:rPr>
          <w:rFonts w:ascii="Century Gothic" w:hAnsi="Century Gothic" w:cs="Arial"/>
          <w:sz w:val="20"/>
          <w:szCs w:val="20"/>
        </w:rPr>
        <w:t>“</w:t>
      </w:r>
      <w:r w:rsidR="00D118D4" w:rsidRPr="003C2AFE">
        <w:rPr>
          <w:rFonts w:ascii="Century Gothic" w:hAnsi="Century Gothic" w:cs="Arial"/>
          <w:sz w:val="20"/>
          <w:szCs w:val="20"/>
        </w:rPr>
        <w:t>Artículo 66.</w:t>
      </w:r>
      <w:r w:rsidR="00156CF6" w:rsidRPr="003C2AFE">
        <w:rPr>
          <w:rFonts w:ascii="Century Gothic" w:hAnsi="Century Gothic" w:cs="Arial"/>
          <w:sz w:val="20"/>
          <w:szCs w:val="20"/>
        </w:rPr>
        <w:t xml:space="preserve"> El r</w:t>
      </w:r>
      <w:r w:rsidR="00D118D4" w:rsidRPr="003C2AFE">
        <w:rPr>
          <w:rFonts w:ascii="Century Gothic" w:hAnsi="Century Gothic" w:cs="Arial"/>
          <w:sz w:val="20"/>
          <w:szCs w:val="20"/>
        </w:rPr>
        <w:t>ector es el representante legal y la primera autoridad ejecutiva de la universidad estatal u o</w:t>
      </w:r>
      <w:r w:rsidR="003401DF" w:rsidRPr="003C2AFE">
        <w:rPr>
          <w:rFonts w:ascii="Century Gothic" w:hAnsi="Century Gothic" w:cs="Arial"/>
          <w:sz w:val="20"/>
          <w:szCs w:val="20"/>
        </w:rPr>
        <w:t>ficial y será designado por el consejo superior u</w:t>
      </w:r>
      <w:r w:rsidR="00D118D4" w:rsidRPr="003C2AFE">
        <w:rPr>
          <w:rFonts w:ascii="Century Gothic" w:hAnsi="Century Gothic" w:cs="Arial"/>
          <w:sz w:val="20"/>
          <w:szCs w:val="20"/>
        </w:rPr>
        <w:t>niversitario. Su designación, requisitos y calidades se reglamentarán en los respectivos estatutos.</w:t>
      </w:r>
    </w:p>
    <w:p w:rsidR="00D118D4" w:rsidRPr="003C2AFE" w:rsidRDefault="00D118D4" w:rsidP="00E445FF">
      <w:pPr>
        <w:spacing w:after="0"/>
        <w:ind w:left="851" w:right="2175"/>
        <w:jc w:val="both"/>
        <w:rPr>
          <w:rFonts w:ascii="Century Gothic" w:hAnsi="Century Gothic" w:cs="Arial"/>
          <w:sz w:val="20"/>
          <w:szCs w:val="20"/>
        </w:rPr>
      </w:pPr>
    </w:p>
    <w:p w:rsidR="00E7039B" w:rsidRPr="003C2AFE" w:rsidRDefault="00D118D4" w:rsidP="00E445FF">
      <w:pPr>
        <w:spacing w:after="0"/>
        <w:ind w:left="851" w:right="2175"/>
        <w:jc w:val="both"/>
        <w:rPr>
          <w:rFonts w:ascii="Century Gothic" w:hAnsi="Century Gothic" w:cs="Arial"/>
          <w:sz w:val="20"/>
          <w:szCs w:val="20"/>
        </w:rPr>
      </w:pPr>
      <w:r w:rsidRPr="003C2AFE">
        <w:rPr>
          <w:rFonts w:ascii="Century Gothic" w:hAnsi="Century Gothic" w:cs="Arial"/>
          <w:sz w:val="20"/>
          <w:szCs w:val="20"/>
        </w:rPr>
        <w:t>Parágrafo</w:t>
      </w:r>
      <w:r w:rsidR="007B7840" w:rsidRPr="003C2AFE">
        <w:rPr>
          <w:rFonts w:ascii="Century Gothic" w:hAnsi="Century Gothic" w:cs="Arial"/>
          <w:sz w:val="20"/>
          <w:szCs w:val="20"/>
        </w:rPr>
        <w:t xml:space="preserve"> </w:t>
      </w:r>
      <w:r w:rsidR="007B7840" w:rsidRPr="003C2AFE">
        <w:rPr>
          <w:rFonts w:ascii="Century Gothic" w:hAnsi="Century Gothic" w:cs="Arial"/>
          <w:b/>
          <w:sz w:val="20"/>
          <w:szCs w:val="20"/>
          <w:u w:val="single"/>
        </w:rPr>
        <w:t>1</w:t>
      </w:r>
      <w:r w:rsidRPr="003C2AFE">
        <w:rPr>
          <w:rFonts w:ascii="Century Gothic" w:hAnsi="Century Gothic" w:cs="Arial"/>
          <w:b/>
          <w:sz w:val="20"/>
          <w:szCs w:val="20"/>
          <w:u w:val="single"/>
        </w:rPr>
        <w:t>.</w:t>
      </w:r>
      <w:r w:rsidR="00F10817" w:rsidRPr="003C2AFE">
        <w:rPr>
          <w:rFonts w:ascii="Century Gothic" w:hAnsi="Century Gothic" w:cs="Arial"/>
          <w:sz w:val="20"/>
          <w:szCs w:val="20"/>
        </w:rPr>
        <w:t xml:space="preserve"> La designación del r</w:t>
      </w:r>
      <w:r w:rsidRPr="003C2AFE">
        <w:rPr>
          <w:rFonts w:ascii="Century Gothic" w:hAnsi="Century Gothic" w:cs="Arial"/>
          <w:sz w:val="20"/>
          <w:szCs w:val="20"/>
        </w:rPr>
        <w:t xml:space="preserve">ector de las instituciones estatales u oficiales que no tienen el carácter de universidades de conformidad con la presente </w:t>
      </w:r>
      <w:r w:rsidR="00671683" w:rsidRPr="003C2AFE">
        <w:rPr>
          <w:rFonts w:ascii="Century Gothic" w:hAnsi="Century Gothic" w:cs="Arial"/>
          <w:sz w:val="20"/>
          <w:szCs w:val="20"/>
        </w:rPr>
        <w:t>l</w:t>
      </w:r>
      <w:r w:rsidRPr="003C2AFE">
        <w:rPr>
          <w:rFonts w:ascii="Century Gothic" w:hAnsi="Century Gothic" w:cs="Arial"/>
          <w:sz w:val="20"/>
          <w:szCs w:val="20"/>
        </w:rPr>
        <w:t>ey se efectuará de ternas</w:t>
      </w:r>
      <w:r w:rsidR="00F10817" w:rsidRPr="003C2AFE">
        <w:rPr>
          <w:rFonts w:ascii="Century Gothic" w:hAnsi="Century Gothic" w:cs="Arial"/>
          <w:sz w:val="20"/>
          <w:szCs w:val="20"/>
        </w:rPr>
        <w:t xml:space="preserve"> presentadas por el consejo directivo. El estatuto g</w:t>
      </w:r>
      <w:r w:rsidRPr="003C2AFE">
        <w:rPr>
          <w:rFonts w:ascii="Century Gothic" w:hAnsi="Century Gothic" w:cs="Arial"/>
          <w:sz w:val="20"/>
          <w:szCs w:val="20"/>
        </w:rPr>
        <w:t>eneral</w:t>
      </w:r>
      <w:r w:rsidR="007B7840" w:rsidRPr="003C2AFE">
        <w:rPr>
          <w:rFonts w:ascii="Century Gothic" w:hAnsi="Century Gothic" w:cs="Arial"/>
          <w:sz w:val="20"/>
          <w:szCs w:val="20"/>
        </w:rPr>
        <w:t xml:space="preserve"> </w:t>
      </w:r>
      <w:r w:rsidRPr="003C2AFE">
        <w:rPr>
          <w:rFonts w:ascii="Century Gothic" w:hAnsi="Century Gothic" w:cs="Arial"/>
          <w:sz w:val="20"/>
          <w:szCs w:val="20"/>
        </w:rPr>
        <w:t>determinará los requisitos y calidades que deben reunir los candidatos y los procedimientos para la integración de</w:t>
      </w:r>
      <w:r w:rsidR="009329F1" w:rsidRPr="003C2AFE">
        <w:rPr>
          <w:rFonts w:ascii="Century Gothic" w:hAnsi="Century Gothic" w:cs="Arial"/>
          <w:sz w:val="20"/>
          <w:szCs w:val="20"/>
        </w:rPr>
        <w:t xml:space="preserve"> </w:t>
      </w:r>
      <w:r w:rsidRPr="003C2AFE">
        <w:rPr>
          <w:rFonts w:ascii="Century Gothic" w:hAnsi="Century Gothic" w:cs="Arial"/>
          <w:sz w:val="20"/>
          <w:szCs w:val="20"/>
        </w:rPr>
        <w:t>esta terna, en los cuales deberá preverse la participación democ</w:t>
      </w:r>
      <w:r w:rsidR="009329F1" w:rsidRPr="003C2AFE">
        <w:rPr>
          <w:rFonts w:ascii="Century Gothic" w:hAnsi="Century Gothic" w:cs="Arial"/>
          <w:sz w:val="20"/>
          <w:szCs w:val="20"/>
        </w:rPr>
        <w:t xml:space="preserve">rática de la comunidad académica. </w:t>
      </w:r>
    </w:p>
    <w:p w:rsidR="009329F1" w:rsidRPr="003C2AFE" w:rsidRDefault="009329F1" w:rsidP="00E445FF">
      <w:pPr>
        <w:spacing w:after="0"/>
        <w:ind w:left="851" w:right="2175"/>
        <w:jc w:val="both"/>
        <w:rPr>
          <w:rFonts w:ascii="Century Gothic" w:hAnsi="Century Gothic" w:cs="Arial"/>
          <w:sz w:val="20"/>
          <w:szCs w:val="20"/>
        </w:rPr>
      </w:pPr>
    </w:p>
    <w:p w:rsidR="009329F1" w:rsidRPr="003C2AFE" w:rsidRDefault="009329F1" w:rsidP="00E445FF">
      <w:pPr>
        <w:spacing w:after="0"/>
        <w:ind w:left="851" w:right="2175"/>
        <w:jc w:val="both"/>
        <w:rPr>
          <w:rFonts w:ascii="Century Gothic" w:hAnsi="Century Gothic" w:cs="Arial"/>
          <w:sz w:val="20"/>
          <w:szCs w:val="20"/>
        </w:rPr>
      </w:pPr>
      <w:r w:rsidRPr="003C2AFE">
        <w:rPr>
          <w:rFonts w:ascii="Century Gothic" w:hAnsi="Century Gothic" w:cs="Arial"/>
          <w:b/>
          <w:sz w:val="20"/>
          <w:szCs w:val="20"/>
        </w:rPr>
        <w:t>Parágrafo 2</w:t>
      </w:r>
      <w:r w:rsidR="007B7840" w:rsidRPr="003C2AFE">
        <w:rPr>
          <w:rFonts w:ascii="Century Gothic" w:hAnsi="Century Gothic" w:cs="Arial"/>
          <w:b/>
          <w:sz w:val="20"/>
          <w:szCs w:val="20"/>
        </w:rPr>
        <w:t>.</w:t>
      </w:r>
      <w:r w:rsidRPr="003C2AFE">
        <w:rPr>
          <w:rFonts w:ascii="Century Gothic" w:hAnsi="Century Gothic" w:cs="Arial"/>
          <w:b/>
          <w:sz w:val="20"/>
          <w:szCs w:val="20"/>
        </w:rPr>
        <w:t xml:space="preserve"> La edad de retiro forzoso para los rectores de </w:t>
      </w:r>
      <w:r w:rsidR="00C74CB2" w:rsidRPr="003C2AFE">
        <w:rPr>
          <w:rFonts w:ascii="Century Gothic" w:hAnsi="Century Gothic" w:cs="Arial"/>
          <w:b/>
          <w:sz w:val="20"/>
          <w:szCs w:val="20"/>
        </w:rPr>
        <w:t xml:space="preserve">las </w:t>
      </w:r>
      <w:r w:rsidR="007D4CFE" w:rsidRPr="003C2AFE">
        <w:rPr>
          <w:rFonts w:ascii="Century Gothic" w:hAnsi="Century Gothic" w:cs="Arial"/>
          <w:b/>
          <w:sz w:val="20"/>
          <w:szCs w:val="20"/>
        </w:rPr>
        <w:t xml:space="preserve">universidades estatales u oficiales </w:t>
      </w:r>
      <w:r w:rsidRPr="003C2AFE">
        <w:rPr>
          <w:rFonts w:ascii="Century Gothic" w:hAnsi="Century Gothic" w:cs="Arial"/>
          <w:b/>
          <w:sz w:val="20"/>
          <w:szCs w:val="20"/>
        </w:rPr>
        <w:t>será la misma establecida en la ley para los docente</w:t>
      </w:r>
      <w:r w:rsidR="00FA0166" w:rsidRPr="003C2AFE">
        <w:rPr>
          <w:rFonts w:ascii="Century Gothic" w:hAnsi="Century Gothic" w:cs="Arial"/>
          <w:b/>
          <w:sz w:val="20"/>
          <w:szCs w:val="20"/>
        </w:rPr>
        <w:t>s</w:t>
      </w:r>
      <w:r w:rsidRPr="003C2AFE">
        <w:rPr>
          <w:rFonts w:ascii="Century Gothic" w:hAnsi="Century Gothic" w:cs="Arial"/>
          <w:b/>
          <w:sz w:val="20"/>
          <w:szCs w:val="20"/>
        </w:rPr>
        <w:t xml:space="preserve"> universitarios</w:t>
      </w:r>
      <w:r w:rsidR="001F5067" w:rsidRPr="003C2AFE">
        <w:rPr>
          <w:rFonts w:ascii="Century Gothic" w:hAnsi="Century Gothic" w:cs="Arial"/>
          <w:b/>
          <w:sz w:val="20"/>
          <w:szCs w:val="20"/>
        </w:rPr>
        <w:t>.</w:t>
      </w:r>
      <w:r w:rsidR="00E45A7E" w:rsidRPr="003C2AFE">
        <w:rPr>
          <w:rFonts w:ascii="Century Gothic" w:hAnsi="Century Gothic" w:cs="Arial"/>
          <w:sz w:val="20"/>
          <w:szCs w:val="20"/>
        </w:rPr>
        <w:t>”</w:t>
      </w:r>
      <w:r w:rsidRPr="003C2AFE">
        <w:rPr>
          <w:rFonts w:ascii="Century Gothic" w:hAnsi="Century Gothic" w:cs="Arial"/>
          <w:sz w:val="20"/>
          <w:szCs w:val="20"/>
        </w:rPr>
        <w:t xml:space="preserve"> </w:t>
      </w:r>
    </w:p>
    <w:p w:rsidR="00D118D4" w:rsidRPr="003C2AFE" w:rsidRDefault="00D118D4" w:rsidP="00E445FF">
      <w:pPr>
        <w:spacing w:after="0"/>
        <w:ind w:right="2175"/>
        <w:jc w:val="both"/>
        <w:rPr>
          <w:rFonts w:ascii="Century Gothic" w:hAnsi="Century Gothic" w:cs="Arial"/>
          <w:sz w:val="20"/>
          <w:szCs w:val="20"/>
        </w:rPr>
      </w:pPr>
    </w:p>
    <w:p w:rsidR="009329F1" w:rsidRPr="003C2AFE" w:rsidRDefault="009329F1" w:rsidP="00EA6E89">
      <w:pPr>
        <w:spacing w:after="0"/>
        <w:jc w:val="both"/>
        <w:rPr>
          <w:rFonts w:ascii="Century Gothic" w:hAnsi="Century Gothic" w:cs="Arial"/>
          <w:sz w:val="20"/>
          <w:szCs w:val="20"/>
        </w:rPr>
      </w:pPr>
      <w:r w:rsidRPr="003C2AFE">
        <w:rPr>
          <w:rFonts w:ascii="Century Gothic" w:hAnsi="Century Gothic" w:cs="Arial"/>
          <w:sz w:val="20"/>
          <w:szCs w:val="20"/>
        </w:rPr>
        <w:t>A</w:t>
      </w:r>
      <w:r w:rsidR="00B3328B" w:rsidRPr="003C2AFE">
        <w:rPr>
          <w:rFonts w:ascii="Century Gothic" w:hAnsi="Century Gothic" w:cs="Arial"/>
          <w:sz w:val="20"/>
          <w:szCs w:val="20"/>
        </w:rPr>
        <w:t>rtículo 2.</w:t>
      </w:r>
      <w:r w:rsidRPr="003C2AFE">
        <w:rPr>
          <w:rFonts w:ascii="Century Gothic" w:hAnsi="Century Gothic" w:cs="Arial"/>
          <w:sz w:val="20"/>
          <w:szCs w:val="20"/>
        </w:rPr>
        <w:t xml:space="preserve"> La presente ley rige a partir de la fecha de su expedición y deroga las disposiciones que le sea</w:t>
      </w:r>
      <w:r w:rsidR="004959A5" w:rsidRPr="003C2AFE">
        <w:rPr>
          <w:rFonts w:ascii="Century Gothic" w:hAnsi="Century Gothic" w:cs="Arial"/>
          <w:sz w:val="20"/>
          <w:szCs w:val="20"/>
        </w:rPr>
        <w:t>n</w:t>
      </w:r>
      <w:r w:rsidRPr="003C2AFE">
        <w:rPr>
          <w:rFonts w:ascii="Century Gothic" w:hAnsi="Century Gothic" w:cs="Arial"/>
          <w:sz w:val="20"/>
          <w:szCs w:val="20"/>
        </w:rPr>
        <w:t xml:space="preserve"> contrarias. </w:t>
      </w:r>
    </w:p>
    <w:p w:rsidR="009329F1" w:rsidRPr="003C2AFE" w:rsidRDefault="009329F1" w:rsidP="00EA6E89">
      <w:pPr>
        <w:spacing w:after="0"/>
        <w:jc w:val="both"/>
        <w:rPr>
          <w:rFonts w:ascii="Century Gothic" w:hAnsi="Century Gothic" w:cs="Arial"/>
          <w:sz w:val="20"/>
          <w:szCs w:val="20"/>
        </w:rPr>
      </w:pPr>
    </w:p>
    <w:p w:rsidR="00E7039B" w:rsidRPr="003C2AFE" w:rsidRDefault="00E7039B" w:rsidP="00EA6E89">
      <w:pPr>
        <w:spacing w:after="0"/>
        <w:jc w:val="both"/>
        <w:rPr>
          <w:rFonts w:ascii="Century Gothic" w:hAnsi="Century Gothic" w:cs="Arial"/>
          <w:sz w:val="20"/>
          <w:szCs w:val="20"/>
        </w:rPr>
      </w:pPr>
    </w:p>
    <w:p w:rsidR="00E7039B" w:rsidRPr="003C2AFE" w:rsidRDefault="00E7039B" w:rsidP="00EA6E89">
      <w:pPr>
        <w:spacing w:after="0"/>
        <w:jc w:val="both"/>
        <w:rPr>
          <w:rFonts w:ascii="Century Gothic" w:hAnsi="Century Gothic" w:cs="Arial"/>
          <w:sz w:val="20"/>
          <w:szCs w:val="20"/>
        </w:rPr>
      </w:pPr>
    </w:p>
    <w:p w:rsidR="00E7039B" w:rsidRPr="003C2AFE" w:rsidRDefault="00E7039B" w:rsidP="00EA6E89">
      <w:pPr>
        <w:spacing w:after="0"/>
        <w:jc w:val="both"/>
        <w:rPr>
          <w:rFonts w:ascii="Century Gothic" w:hAnsi="Century Gothic" w:cs="Arial"/>
          <w:sz w:val="20"/>
          <w:szCs w:val="20"/>
        </w:rPr>
      </w:pPr>
    </w:p>
    <w:p w:rsidR="00E7039B" w:rsidRPr="003C2AFE" w:rsidRDefault="00E7039B" w:rsidP="00EA6E89">
      <w:pPr>
        <w:spacing w:after="0"/>
        <w:jc w:val="both"/>
        <w:rPr>
          <w:rFonts w:ascii="Century Gothic" w:hAnsi="Century Gothic" w:cs="Arial"/>
          <w:sz w:val="20"/>
          <w:szCs w:val="20"/>
        </w:rPr>
      </w:pPr>
    </w:p>
    <w:p w:rsidR="00E7039B" w:rsidRPr="003C2AFE" w:rsidRDefault="00E7039B" w:rsidP="00E7039B">
      <w:pPr>
        <w:spacing w:after="0"/>
        <w:jc w:val="center"/>
        <w:rPr>
          <w:rFonts w:ascii="Century Gothic" w:hAnsi="Century Gothic" w:cs="Arial"/>
          <w:b/>
          <w:sz w:val="20"/>
          <w:szCs w:val="20"/>
        </w:rPr>
      </w:pPr>
      <w:r w:rsidRPr="003C2AFE">
        <w:rPr>
          <w:rFonts w:ascii="Century Gothic" w:hAnsi="Century Gothic" w:cs="Arial"/>
          <w:b/>
          <w:sz w:val="20"/>
          <w:szCs w:val="20"/>
        </w:rPr>
        <w:t>LUIS FERNANDO DUQUE GARCIA</w:t>
      </w:r>
    </w:p>
    <w:p w:rsidR="00E7039B" w:rsidRPr="003C2AFE" w:rsidRDefault="00E7039B" w:rsidP="00EA6E89">
      <w:pPr>
        <w:spacing w:after="0"/>
        <w:jc w:val="both"/>
        <w:rPr>
          <w:rFonts w:ascii="Century Gothic" w:hAnsi="Century Gothic" w:cs="Arial"/>
          <w:b/>
          <w:sz w:val="20"/>
          <w:szCs w:val="20"/>
        </w:rPr>
      </w:pPr>
    </w:p>
    <w:p w:rsidR="00E7039B" w:rsidRPr="003C2AFE" w:rsidRDefault="00E7039B" w:rsidP="00EA6E89">
      <w:pPr>
        <w:spacing w:after="0"/>
        <w:jc w:val="both"/>
        <w:rPr>
          <w:rFonts w:ascii="Century Gothic" w:hAnsi="Century Gothic" w:cs="Arial"/>
          <w:sz w:val="20"/>
          <w:szCs w:val="20"/>
        </w:rPr>
      </w:pPr>
    </w:p>
    <w:p w:rsidR="000E4CD2" w:rsidRPr="003C2AFE" w:rsidRDefault="000E4CD2" w:rsidP="00EA6E89">
      <w:pPr>
        <w:spacing w:after="0"/>
        <w:jc w:val="both"/>
        <w:rPr>
          <w:rFonts w:ascii="Century Gothic" w:hAnsi="Century Gothic" w:cs="Arial"/>
          <w:sz w:val="20"/>
          <w:szCs w:val="20"/>
        </w:rPr>
      </w:pPr>
    </w:p>
    <w:p w:rsidR="000E4CD2" w:rsidRPr="003C2AFE" w:rsidRDefault="000E4CD2" w:rsidP="00EA6E89">
      <w:pPr>
        <w:spacing w:after="0"/>
        <w:jc w:val="both"/>
        <w:rPr>
          <w:rFonts w:ascii="Century Gothic" w:hAnsi="Century Gothic" w:cs="Arial"/>
          <w:sz w:val="20"/>
          <w:szCs w:val="20"/>
        </w:rPr>
      </w:pPr>
    </w:p>
    <w:p w:rsidR="00685F45" w:rsidRPr="003C2AFE" w:rsidRDefault="00685F45" w:rsidP="009329F1">
      <w:pPr>
        <w:spacing w:after="0"/>
        <w:jc w:val="center"/>
        <w:rPr>
          <w:rFonts w:ascii="Century Gothic" w:hAnsi="Century Gothic" w:cs="Arial"/>
          <w:b/>
          <w:sz w:val="20"/>
          <w:szCs w:val="20"/>
        </w:rPr>
      </w:pPr>
    </w:p>
    <w:p w:rsidR="00685F45" w:rsidRPr="003C2AFE" w:rsidRDefault="00685F45" w:rsidP="009329F1">
      <w:pPr>
        <w:spacing w:after="0"/>
        <w:jc w:val="center"/>
        <w:rPr>
          <w:rFonts w:ascii="Century Gothic" w:hAnsi="Century Gothic" w:cs="Arial"/>
          <w:b/>
          <w:sz w:val="20"/>
          <w:szCs w:val="20"/>
        </w:rPr>
      </w:pPr>
    </w:p>
    <w:p w:rsidR="00685F45" w:rsidRPr="003C2AFE" w:rsidRDefault="00685F45" w:rsidP="009329F1">
      <w:pPr>
        <w:spacing w:after="0"/>
        <w:jc w:val="center"/>
        <w:rPr>
          <w:rFonts w:ascii="Century Gothic" w:hAnsi="Century Gothic" w:cs="Arial"/>
          <w:b/>
          <w:sz w:val="20"/>
          <w:szCs w:val="20"/>
        </w:rPr>
      </w:pPr>
    </w:p>
    <w:p w:rsidR="00685F45" w:rsidRPr="003C2AFE" w:rsidRDefault="00685F45" w:rsidP="009329F1">
      <w:pPr>
        <w:spacing w:after="0"/>
        <w:jc w:val="center"/>
        <w:rPr>
          <w:rFonts w:ascii="Century Gothic" w:hAnsi="Century Gothic" w:cs="Arial"/>
          <w:b/>
          <w:sz w:val="20"/>
          <w:szCs w:val="20"/>
        </w:rPr>
      </w:pPr>
    </w:p>
    <w:p w:rsidR="009329F1" w:rsidRPr="003C2AFE" w:rsidRDefault="009329F1" w:rsidP="009329F1">
      <w:pPr>
        <w:spacing w:after="0"/>
        <w:jc w:val="center"/>
        <w:rPr>
          <w:rFonts w:ascii="Century Gothic" w:hAnsi="Century Gothic" w:cs="Arial"/>
          <w:b/>
          <w:sz w:val="20"/>
          <w:szCs w:val="20"/>
        </w:rPr>
      </w:pPr>
      <w:r w:rsidRPr="003C2AFE">
        <w:rPr>
          <w:rFonts w:ascii="Century Gothic" w:hAnsi="Century Gothic" w:cs="Arial"/>
          <w:b/>
          <w:sz w:val="20"/>
          <w:szCs w:val="20"/>
        </w:rPr>
        <w:t>E</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X</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P</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O</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S</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I</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C</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I</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O</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N</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 xml:space="preserve"> </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D</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E</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 xml:space="preserve"> </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M</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O</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T</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I</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V</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O</w:t>
      </w:r>
      <w:r w:rsidR="0055555F" w:rsidRPr="003C2AFE">
        <w:rPr>
          <w:rFonts w:ascii="Century Gothic" w:hAnsi="Century Gothic" w:cs="Arial"/>
          <w:b/>
          <w:sz w:val="20"/>
          <w:szCs w:val="20"/>
        </w:rPr>
        <w:t xml:space="preserve"> </w:t>
      </w:r>
      <w:r w:rsidRPr="003C2AFE">
        <w:rPr>
          <w:rFonts w:ascii="Century Gothic" w:hAnsi="Century Gothic" w:cs="Arial"/>
          <w:b/>
          <w:sz w:val="20"/>
          <w:szCs w:val="20"/>
        </w:rPr>
        <w:t>S</w:t>
      </w:r>
    </w:p>
    <w:p w:rsidR="009329F1" w:rsidRPr="003C2AFE" w:rsidRDefault="009329F1" w:rsidP="00EA6E89">
      <w:pPr>
        <w:spacing w:after="0"/>
        <w:jc w:val="both"/>
        <w:rPr>
          <w:rFonts w:ascii="Century Gothic" w:hAnsi="Century Gothic" w:cs="Arial"/>
          <w:sz w:val="20"/>
          <w:szCs w:val="20"/>
        </w:rPr>
      </w:pPr>
    </w:p>
    <w:p w:rsidR="00A62A94" w:rsidRPr="003C2AFE" w:rsidRDefault="009B14C4" w:rsidP="009B14C4">
      <w:pPr>
        <w:spacing w:before="28" w:after="23" w:line="216" w:lineRule="atLeast"/>
        <w:ind w:firstLine="283"/>
        <w:jc w:val="both"/>
        <w:textAlignment w:val="center"/>
        <w:rPr>
          <w:rFonts w:ascii="Century Gothic" w:eastAsia="Times New Roman" w:hAnsi="Century Gothic" w:cs="Times New Roman"/>
          <w:color w:val="000000"/>
          <w:sz w:val="23"/>
          <w:szCs w:val="23"/>
          <w:lang w:val="es-ES_tradnl" w:eastAsia="es-ES"/>
        </w:rPr>
      </w:pPr>
      <w:r w:rsidRPr="003C2AFE">
        <w:rPr>
          <w:rFonts w:ascii="Century Gothic" w:eastAsia="Times New Roman" w:hAnsi="Century Gothic" w:cs="Times New Roman"/>
          <w:color w:val="000000"/>
          <w:sz w:val="23"/>
          <w:szCs w:val="23"/>
          <w:lang w:val="es-ES_tradnl" w:eastAsia="es-ES"/>
        </w:rPr>
        <w:t xml:space="preserve">La </w:t>
      </w:r>
      <w:r w:rsidR="00A62A94" w:rsidRPr="003C2AFE">
        <w:rPr>
          <w:rFonts w:ascii="Century Gothic" w:eastAsia="Times New Roman" w:hAnsi="Century Gothic" w:cs="Times New Roman"/>
          <w:color w:val="000000"/>
          <w:sz w:val="23"/>
          <w:szCs w:val="23"/>
          <w:lang w:val="es-ES_tradnl" w:eastAsia="es-ES"/>
        </w:rPr>
        <w:t xml:space="preserve">Corte Constitucional en la Sentencia T-668/12, realizó un análisis  jurídico de la edad de retiro forzoso, en los siguientes términos:  </w:t>
      </w:r>
    </w:p>
    <w:p w:rsidR="000D3CDD" w:rsidRPr="003C2AFE" w:rsidRDefault="000D3CDD" w:rsidP="00A62A94">
      <w:pPr>
        <w:spacing w:before="28" w:after="23" w:line="216" w:lineRule="atLeast"/>
        <w:ind w:left="709" w:right="1325"/>
        <w:jc w:val="both"/>
        <w:textAlignment w:val="center"/>
        <w:rPr>
          <w:rFonts w:ascii="Century Gothic" w:hAnsi="Century Gothic"/>
          <w:i/>
          <w:iCs/>
          <w:color w:val="000000"/>
          <w:sz w:val="20"/>
          <w:szCs w:val="20"/>
          <w:shd w:val="clear" w:color="auto" w:fill="FFFFFF"/>
        </w:rPr>
      </w:pPr>
    </w:p>
    <w:p w:rsidR="00A62A94" w:rsidRPr="003C2AFE" w:rsidRDefault="00A62A94" w:rsidP="00A62A94">
      <w:pPr>
        <w:spacing w:before="28" w:after="23" w:line="216" w:lineRule="atLeast"/>
        <w:ind w:left="709" w:right="1325"/>
        <w:jc w:val="both"/>
        <w:textAlignment w:val="center"/>
        <w:rPr>
          <w:rFonts w:ascii="Century Gothic" w:eastAsia="Times New Roman" w:hAnsi="Century Gothic" w:cs="Times New Roman"/>
          <w:color w:val="000000"/>
          <w:sz w:val="20"/>
          <w:szCs w:val="20"/>
          <w:lang w:val="es-ES_tradnl" w:eastAsia="es-ES"/>
        </w:rPr>
      </w:pPr>
      <w:r w:rsidRPr="003C2AFE">
        <w:rPr>
          <w:rFonts w:ascii="Century Gothic" w:hAnsi="Century Gothic"/>
          <w:i/>
          <w:iCs/>
          <w:color w:val="000000"/>
          <w:sz w:val="20"/>
          <w:szCs w:val="20"/>
          <w:shd w:val="clear" w:color="auto" w:fill="FFFFFF"/>
        </w:rPr>
        <w:t xml:space="preserve">“El marco constitucional de los servidores públicos está regido por el capítulo segundo del título quinto de la Carta, el cual, en líneas generales, define quiénes son servidores públicos, establece algunas exigencias para acceder a la función pública, determina su responsabilidad, fija algunas prohibiciones y precisa su sistema de nombramiento. Asimismo, el artículo 125 superior señala que el retiro de los cargos de carrera se hará “por calificación no satisfactoria en el desempeño del empleo; por violación del régimen disciplinario y por las demás causales previstas en la Constitución </w:t>
      </w:r>
      <w:r w:rsidRPr="003C2AFE">
        <w:rPr>
          <w:rFonts w:ascii="Century Gothic" w:hAnsi="Century Gothic"/>
          <w:b/>
          <w:i/>
          <w:iCs/>
          <w:color w:val="000000"/>
          <w:sz w:val="20"/>
          <w:szCs w:val="20"/>
          <w:u w:val="single"/>
          <w:shd w:val="clear" w:color="auto" w:fill="FFFFFF"/>
        </w:rPr>
        <w:t>o la ley”.</w:t>
      </w:r>
      <w:r w:rsidRPr="003C2AFE">
        <w:rPr>
          <w:rStyle w:val="apple-converted-space"/>
          <w:rFonts w:ascii="Century Gothic" w:hAnsi="Century Gothic"/>
          <w:b/>
          <w:i/>
          <w:iCs/>
          <w:color w:val="000000"/>
          <w:sz w:val="20"/>
          <w:szCs w:val="20"/>
          <w:u w:val="single"/>
          <w:shd w:val="clear" w:color="auto" w:fill="FFFFFF"/>
        </w:rPr>
        <w:t> </w:t>
      </w:r>
      <w:r w:rsidRPr="003C2AFE">
        <w:rPr>
          <w:rFonts w:ascii="Century Gothic" w:hAnsi="Century Gothic"/>
          <w:b/>
          <w:i/>
          <w:iCs/>
          <w:color w:val="000000"/>
          <w:sz w:val="20"/>
          <w:szCs w:val="20"/>
          <w:u w:val="single"/>
          <w:shd w:val="clear" w:color="auto" w:fill="FFFFFF"/>
        </w:rPr>
        <w:t>Pues bien, la llegada a la edad de retiro forzoso es una de aquellas causales previstas en la ley a las que se refiere la Constitución.</w:t>
      </w:r>
      <w:r w:rsidRPr="003C2AFE">
        <w:rPr>
          <w:rFonts w:ascii="Century Gothic" w:hAnsi="Century Gothic"/>
          <w:i/>
          <w:iCs/>
          <w:color w:val="000000"/>
          <w:sz w:val="20"/>
          <w:szCs w:val="20"/>
          <w:shd w:val="clear" w:color="auto" w:fill="FFFFFF"/>
        </w:rPr>
        <w:t xml:space="preserve"> En este sentido, el literal g de la Ley 909 de 2004 prescribe que</w:t>
      </w:r>
      <w:r w:rsidRPr="003C2AFE">
        <w:rPr>
          <w:rStyle w:val="apple-converted-space"/>
          <w:rFonts w:ascii="Century Gothic" w:hAnsi="Century Gothic"/>
          <w:i/>
          <w:iCs/>
          <w:color w:val="000000"/>
          <w:sz w:val="20"/>
          <w:szCs w:val="20"/>
          <w:shd w:val="clear" w:color="auto" w:fill="FFFFFF"/>
        </w:rPr>
        <w:t> </w:t>
      </w:r>
      <w:r w:rsidRPr="003C2AFE">
        <w:rPr>
          <w:rFonts w:ascii="Century Gothic" w:hAnsi="Century Gothic"/>
          <w:b/>
          <w:i/>
          <w:iCs/>
          <w:color w:val="000000"/>
          <w:sz w:val="20"/>
          <w:szCs w:val="20"/>
          <w:u w:val="single"/>
          <w:shd w:val="clear" w:color="auto" w:fill="FFFFFF"/>
        </w:rPr>
        <w:t>el retiro del servicio de quienes estén desempeñando empleos de libre nombramiento y remoción y de carrera administrativa se produce por el arribo a la edad de retiro forzoso.</w:t>
      </w:r>
      <w:r w:rsidRPr="003C2AFE">
        <w:rPr>
          <w:rStyle w:val="apple-converted-space"/>
          <w:rFonts w:ascii="Century Gothic" w:hAnsi="Century Gothic"/>
          <w:i/>
          <w:iCs/>
          <w:color w:val="000000"/>
          <w:sz w:val="20"/>
          <w:szCs w:val="20"/>
          <w:shd w:val="clear" w:color="auto" w:fill="FFFFFF"/>
        </w:rPr>
        <w:t> </w:t>
      </w:r>
      <w:r w:rsidRPr="003C2AFE">
        <w:rPr>
          <w:rFonts w:ascii="Century Gothic" w:hAnsi="Century Gothic"/>
          <w:i/>
          <w:iCs/>
          <w:color w:val="000000"/>
          <w:sz w:val="20"/>
          <w:szCs w:val="20"/>
          <w:shd w:val="clear" w:color="auto" w:fill="FFFFFF"/>
        </w:rPr>
        <w:t>Pero, ¿cuál es la edad de retiro forzoso? El artículo 31 del Decreto 2400 de 1968, aplicable al personal civil que presta sus servicios en los empleos de la rama ejecutiva del poder público, dispone que “[t]</w:t>
      </w:r>
      <w:proofErr w:type="spellStart"/>
      <w:r w:rsidRPr="003C2AFE">
        <w:rPr>
          <w:rFonts w:ascii="Century Gothic" w:hAnsi="Century Gothic"/>
          <w:i/>
          <w:iCs/>
          <w:color w:val="000000"/>
          <w:sz w:val="20"/>
          <w:szCs w:val="20"/>
          <w:shd w:val="clear" w:color="auto" w:fill="FFFFFF"/>
        </w:rPr>
        <w:t>odo</w:t>
      </w:r>
      <w:proofErr w:type="spellEnd"/>
      <w:r w:rsidRPr="003C2AFE">
        <w:rPr>
          <w:rFonts w:ascii="Century Gothic" w:hAnsi="Century Gothic"/>
          <w:i/>
          <w:iCs/>
          <w:color w:val="000000"/>
          <w:sz w:val="20"/>
          <w:szCs w:val="20"/>
          <w:shd w:val="clear" w:color="auto" w:fill="FFFFFF"/>
        </w:rPr>
        <w:t xml:space="preserve"> empleado que cumpla la edad de </w:t>
      </w:r>
      <w:r w:rsidRPr="003C2AFE">
        <w:rPr>
          <w:rFonts w:ascii="Century Gothic" w:hAnsi="Century Gothic"/>
          <w:b/>
          <w:i/>
          <w:iCs/>
          <w:color w:val="000000"/>
          <w:sz w:val="20"/>
          <w:szCs w:val="20"/>
          <w:u w:val="single"/>
          <w:shd w:val="clear" w:color="auto" w:fill="FFFFFF"/>
        </w:rPr>
        <w:t xml:space="preserve">sesenta y cinco (65) años </w:t>
      </w:r>
      <w:r w:rsidRPr="003C2AFE">
        <w:rPr>
          <w:rFonts w:ascii="Century Gothic" w:hAnsi="Century Gothic"/>
          <w:i/>
          <w:iCs/>
          <w:color w:val="000000"/>
          <w:sz w:val="20"/>
          <w:szCs w:val="20"/>
          <w:shd w:val="clear" w:color="auto" w:fill="FFFFFF"/>
        </w:rPr>
        <w:t>será retirado del servicio y no será reintegrado. Los empleados que cesen en el desempeño de sus funciones por razón de la edad, se harán acreedores a una pensión por vejez, de acuerdo a lo que sobre el particular establezca el régimen de prestaciones sociales para los empleados públicos”. En concordancia con este precepto, el artículo 122 del Decreto 1950 de 1973 asegura que “[l]a edad de sesenta y cinco (65) años constituye impedimento para desempeñar cargos públicos”.</w:t>
      </w:r>
      <w:r w:rsidRPr="003C2AFE">
        <w:rPr>
          <w:rStyle w:val="apple-converted-space"/>
          <w:rFonts w:ascii="Century Gothic" w:hAnsi="Century Gothic"/>
          <w:i/>
          <w:iCs/>
          <w:color w:val="000000"/>
          <w:sz w:val="20"/>
          <w:szCs w:val="20"/>
          <w:shd w:val="clear" w:color="auto" w:fill="FFFFFF"/>
        </w:rPr>
        <w:t> </w:t>
      </w:r>
      <w:r w:rsidRPr="003C2AFE">
        <w:rPr>
          <w:rFonts w:ascii="Century Gothic" w:hAnsi="Century Gothic"/>
          <w:i/>
          <w:iCs/>
          <w:color w:val="000000"/>
          <w:sz w:val="20"/>
          <w:szCs w:val="20"/>
          <w:shd w:val="clear" w:color="auto" w:fill="FFFFFF"/>
        </w:rPr>
        <w:t xml:space="preserve">Si bien aparentemente la consagración de una edad de retiro forzoso supone prima facie un menoscabo al derecho al trabajo y, en consecuencia, al mínimo vital que está compuesto por la remuneración percibida por los servicios prestados, la Corte Constitucional ha hallado que esta causal de retiro de la función pública resulta proporcional a los fines constitucionales cuyo logro persigue. En tal sentido, este Tribunal adujo en sentencia C-563 de 1997 que “la posibilidad de retirar a un servidor público de su empleo, una vez ha alcanzado una determinada edad fijada en la ley, es un instrumento de (sic) que disponen el legislador y la administración para lograr el principio de igualdad de oportunidades en el acceso a </w:t>
      </w:r>
      <w:r w:rsidRPr="003C2AFE">
        <w:rPr>
          <w:rFonts w:ascii="Century Gothic" w:hAnsi="Century Gothic"/>
          <w:i/>
          <w:iCs/>
          <w:color w:val="000000"/>
          <w:sz w:val="20"/>
          <w:szCs w:val="20"/>
          <w:shd w:val="clear" w:color="auto" w:fill="FFFFFF"/>
        </w:rPr>
        <w:lastRenderedPageBreak/>
        <w:t>los cargos públicos (C.P., artículos 13 y 40-7) y el derecho al trabajo de los ciudadanos que aspiran a desempeñarse como trabajadores al servicio del Estado (C.P., artículo 25). Así mismo, medidas de esta índole persiguen la efectividad del mandato estatal contenido en el artículo 54 de la Carta Política, según el cual ‘el Estado debe propiciar la ubicación laboral de las personas en edad de trabajar’ que, a su turno, es concordante con las facultades genéricas de intervención del Estado en la economía con la finalidad de ‘dar pleno empleo a los recursos humanos’ (C.P., artículo 334). En suma, es posible afirmar que la fijación de una edad de retiro forzoso como causal de desvinculación del servicio público, constituye una medida gracias a la cual el Estado redistribuye y renueva un recurso escaso, como son los empleos públicos, con la finalidad de que todos los ciudadanos tengan acceso a éste en condiciones de equidad e igualdad de oportunidades”. En la misma providencia referenciada, se resaltó que la fijación de la edad de 65 años como razón suficiente para el retiro forzoso de cargos públicos sometidos al régimen de carrera administrativa “no vulnera el derecho fundamental al mínimo vital (C.P., artículo 1°). En efecto, la restricción impuesta a los servidores públicos que cumplen la edad de retiro forzoso es compensada por el derecho que adquieren al disfrute de la respectiva pensión de jubilación (C.P., artículo 48) y a las garantías y prestaciones que se derivan de la especial protección y asistencia que el Estado está obligado a dispensar a las personas de la tercera edad (C.P., artículos 13 y 46), lo cual deja a salvo la integridad del indicado derecho fundamental”. En suma, el establecimiento de una edad de retiro forzoso para los servidores públicos, en abstracto, no contraviene los mandatos constitucionales, en tanto materializa el principio de igualdad de oportunidades en el acceso a los cargos públicos, cristaliza el derecho al trabajo de los ciudadanos que aspiran a desempeñarse como trabajadores al servicio del Estado y respeta el derecho al mínimo vital del servidor que alcanza la edad de retiro forzoso, pues su expulsión del cargo se remedia con la adquisición de derechos derivados del sistema de seguridad social en pensiones. Así pues, la fijación de una edad de retiro goza de fines constitucionalmente legítimos y la afectación que ella acarrea al servidor público es razonable, dada la compensación que éste recibe en materia pensional.”</w:t>
      </w:r>
      <w:r w:rsidR="006B511C" w:rsidRPr="003C2AFE">
        <w:rPr>
          <w:rFonts w:ascii="Century Gothic" w:hAnsi="Century Gothic"/>
          <w:i/>
          <w:iCs/>
          <w:color w:val="000000"/>
          <w:sz w:val="20"/>
          <w:szCs w:val="20"/>
          <w:shd w:val="clear" w:color="auto" w:fill="FFFFFF"/>
        </w:rPr>
        <w:t xml:space="preserve"> </w:t>
      </w:r>
      <w:r w:rsidR="006B511C" w:rsidRPr="003C2AFE">
        <w:rPr>
          <w:rFonts w:ascii="Century Gothic" w:hAnsi="Century Gothic"/>
          <w:b/>
          <w:i/>
          <w:iCs/>
          <w:color w:val="000000"/>
          <w:sz w:val="20"/>
          <w:szCs w:val="20"/>
          <w:shd w:val="clear" w:color="auto" w:fill="FFFFFF"/>
        </w:rPr>
        <w:t xml:space="preserve">– Resaltado fuera de texto - </w:t>
      </w:r>
    </w:p>
    <w:p w:rsidR="00A62A94" w:rsidRPr="003C2AFE" w:rsidRDefault="00A62A94" w:rsidP="00A62A94">
      <w:pPr>
        <w:spacing w:before="28" w:after="23" w:line="216" w:lineRule="atLeast"/>
        <w:ind w:left="709" w:right="1325"/>
        <w:jc w:val="both"/>
        <w:textAlignment w:val="center"/>
        <w:rPr>
          <w:rFonts w:ascii="Century Gothic" w:eastAsia="Times New Roman" w:hAnsi="Century Gothic" w:cs="Times New Roman"/>
          <w:color w:val="000000"/>
          <w:sz w:val="20"/>
          <w:szCs w:val="20"/>
          <w:lang w:val="es-ES_tradnl" w:eastAsia="es-ES"/>
        </w:rPr>
      </w:pPr>
    </w:p>
    <w:p w:rsidR="00685F45" w:rsidRPr="003C2AFE" w:rsidRDefault="00685F45" w:rsidP="009B14C4">
      <w:pPr>
        <w:spacing w:before="28" w:after="23" w:line="216" w:lineRule="atLeast"/>
        <w:ind w:firstLine="283"/>
        <w:jc w:val="both"/>
        <w:textAlignment w:val="center"/>
        <w:rPr>
          <w:rFonts w:ascii="Century Gothic" w:hAnsi="Century Gothic" w:cs="Arial"/>
          <w:sz w:val="20"/>
          <w:szCs w:val="20"/>
        </w:rPr>
      </w:pPr>
    </w:p>
    <w:p w:rsidR="00685F45" w:rsidRPr="003C2AFE" w:rsidRDefault="00685F45" w:rsidP="009B14C4">
      <w:pPr>
        <w:spacing w:before="28" w:after="23" w:line="216" w:lineRule="atLeast"/>
        <w:ind w:firstLine="283"/>
        <w:jc w:val="both"/>
        <w:textAlignment w:val="center"/>
        <w:rPr>
          <w:rFonts w:ascii="Century Gothic" w:hAnsi="Century Gothic" w:cs="Arial"/>
          <w:sz w:val="20"/>
          <w:szCs w:val="20"/>
        </w:rPr>
      </w:pPr>
    </w:p>
    <w:p w:rsidR="00685F45" w:rsidRPr="003C2AFE" w:rsidRDefault="00685F45" w:rsidP="009B14C4">
      <w:pPr>
        <w:spacing w:before="28" w:after="23" w:line="216" w:lineRule="atLeast"/>
        <w:ind w:firstLine="283"/>
        <w:jc w:val="both"/>
        <w:textAlignment w:val="center"/>
        <w:rPr>
          <w:rFonts w:ascii="Century Gothic" w:hAnsi="Century Gothic" w:cs="Arial"/>
          <w:sz w:val="20"/>
          <w:szCs w:val="20"/>
        </w:rPr>
      </w:pPr>
    </w:p>
    <w:p w:rsidR="00685F45" w:rsidRPr="003C2AFE" w:rsidRDefault="00685F45" w:rsidP="009B14C4">
      <w:pPr>
        <w:spacing w:before="28" w:after="23" w:line="216" w:lineRule="atLeast"/>
        <w:ind w:firstLine="283"/>
        <w:jc w:val="both"/>
        <w:textAlignment w:val="center"/>
        <w:rPr>
          <w:rFonts w:ascii="Century Gothic" w:hAnsi="Century Gothic" w:cs="Arial"/>
          <w:sz w:val="20"/>
          <w:szCs w:val="20"/>
        </w:rPr>
      </w:pPr>
    </w:p>
    <w:p w:rsidR="00685F45" w:rsidRPr="003C2AFE" w:rsidRDefault="00685F45" w:rsidP="009B14C4">
      <w:pPr>
        <w:spacing w:before="28" w:after="23" w:line="216" w:lineRule="atLeast"/>
        <w:ind w:firstLine="283"/>
        <w:jc w:val="both"/>
        <w:textAlignment w:val="center"/>
        <w:rPr>
          <w:rFonts w:ascii="Century Gothic" w:hAnsi="Century Gothic" w:cs="Arial"/>
          <w:sz w:val="20"/>
          <w:szCs w:val="20"/>
        </w:rPr>
      </w:pPr>
    </w:p>
    <w:p w:rsidR="00685F45" w:rsidRPr="003C2AFE" w:rsidRDefault="00685F45" w:rsidP="009B14C4">
      <w:pPr>
        <w:spacing w:before="28" w:after="23" w:line="216" w:lineRule="atLeast"/>
        <w:ind w:firstLine="283"/>
        <w:jc w:val="both"/>
        <w:textAlignment w:val="center"/>
        <w:rPr>
          <w:rFonts w:ascii="Century Gothic" w:hAnsi="Century Gothic" w:cs="Arial"/>
          <w:sz w:val="20"/>
          <w:szCs w:val="20"/>
        </w:rPr>
      </w:pPr>
    </w:p>
    <w:p w:rsidR="00685F45" w:rsidRPr="003C2AFE" w:rsidRDefault="00685F45" w:rsidP="009B14C4">
      <w:pPr>
        <w:spacing w:before="28" w:after="23" w:line="216" w:lineRule="atLeast"/>
        <w:ind w:firstLine="283"/>
        <w:jc w:val="both"/>
        <w:textAlignment w:val="center"/>
        <w:rPr>
          <w:rFonts w:ascii="Century Gothic" w:hAnsi="Century Gothic" w:cs="Arial"/>
          <w:sz w:val="20"/>
          <w:szCs w:val="20"/>
        </w:rPr>
      </w:pPr>
    </w:p>
    <w:p w:rsidR="00A62A94" w:rsidRPr="003C2AFE" w:rsidRDefault="000D3CDD" w:rsidP="009B14C4">
      <w:pPr>
        <w:spacing w:before="28" w:after="23" w:line="216" w:lineRule="atLeast"/>
        <w:ind w:firstLine="283"/>
        <w:jc w:val="both"/>
        <w:textAlignment w:val="center"/>
        <w:rPr>
          <w:rFonts w:ascii="Century Gothic" w:hAnsi="Century Gothic" w:cs="Arial"/>
          <w:sz w:val="20"/>
          <w:szCs w:val="20"/>
        </w:rPr>
      </w:pPr>
      <w:r w:rsidRPr="003C2AFE">
        <w:rPr>
          <w:rFonts w:ascii="Century Gothic" w:hAnsi="Century Gothic" w:cs="Arial"/>
          <w:sz w:val="20"/>
          <w:szCs w:val="20"/>
        </w:rPr>
        <w:lastRenderedPageBreak/>
        <w:t>Como puede evidenci</w:t>
      </w:r>
      <w:r w:rsidR="005809B5" w:rsidRPr="003C2AFE">
        <w:rPr>
          <w:rFonts w:ascii="Century Gothic" w:hAnsi="Century Gothic" w:cs="Arial"/>
          <w:sz w:val="20"/>
          <w:szCs w:val="20"/>
        </w:rPr>
        <w:t>arse, establecer la edad de reti</w:t>
      </w:r>
      <w:r w:rsidRPr="003C2AFE">
        <w:rPr>
          <w:rFonts w:ascii="Century Gothic" w:hAnsi="Century Gothic" w:cs="Arial"/>
          <w:sz w:val="20"/>
          <w:szCs w:val="20"/>
        </w:rPr>
        <w:t xml:space="preserve">ro forzoso por orden constitucional y según los </w:t>
      </w:r>
      <w:r w:rsidR="00FA7147" w:rsidRPr="003C2AFE">
        <w:rPr>
          <w:rFonts w:ascii="Century Gothic" w:hAnsi="Century Gothic" w:cs="Arial"/>
          <w:sz w:val="20"/>
          <w:szCs w:val="20"/>
        </w:rPr>
        <w:t>parámetros</w:t>
      </w:r>
      <w:r w:rsidRPr="003C2AFE">
        <w:rPr>
          <w:rFonts w:ascii="Century Gothic" w:hAnsi="Century Gothic" w:cs="Arial"/>
          <w:sz w:val="20"/>
          <w:szCs w:val="20"/>
        </w:rPr>
        <w:t xml:space="preserve"> establecidos en</w:t>
      </w:r>
      <w:r w:rsidR="00C01824" w:rsidRPr="003C2AFE">
        <w:rPr>
          <w:rFonts w:ascii="Century Gothic" w:hAnsi="Century Gothic" w:cs="Arial"/>
          <w:sz w:val="20"/>
          <w:szCs w:val="20"/>
        </w:rPr>
        <w:t xml:space="preserve"> </w:t>
      </w:r>
      <w:r w:rsidRPr="003C2AFE">
        <w:rPr>
          <w:rFonts w:ascii="Century Gothic" w:hAnsi="Century Gothic" w:cs="Arial"/>
          <w:sz w:val="20"/>
          <w:szCs w:val="20"/>
        </w:rPr>
        <w:t xml:space="preserve">el </w:t>
      </w:r>
      <w:r w:rsidR="00C01824" w:rsidRPr="003C2AFE">
        <w:rPr>
          <w:rFonts w:ascii="Century Gothic" w:hAnsi="Century Gothic" w:cs="Arial"/>
          <w:sz w:val="20"/>
          <w:szCs w:val="20"/>
        </w:rPr>
        <w:t>inciso cuarto del artí</w:t>
      </w:r>
      <w:r w:rsidRPr="003C2AFE">
        <w:rPr>
          <w:rFonts w:ascii="Century Gothic" w:hAnsi="Century Gothic" w:cs="Arial"/>
          <w:sz w:val="20"/>
          <w:szCs w:val="20"/>
        </w:rPr>
        <w:t xml:space="preserve">culo 125 de la </w:t>
      </w:r>
      <w:r w:rsidR="00FA7147" w:rsidRPr="003C2AFE">
        <w:rPr>
          <w:rFonts w:ascii="Century Gothic" w:hAnsi="Century Gothic" w:cs="Arial"/>
          <w:sz w:val="20"/>
          <w:szCs w:val="20"/>
        </w:rPr>
        <w:t>Constitución P</w:t>
      </w:r>
      <w:r w:rsidRPr="003C2AFE">
        <w:rPr>
          <w:rFonts w:ascii="Century Gothic" w:hAnsi="Century Gothic" w:cs="Arial"/>
          <w:sz w:val="20"/>
          <w:szCs w:val="20"/>
        </w:rPr>
        <w:t>olítica</w:t>
      </w:r>
      <w:r w:rsidR="00C01824" w:rsidRPr="003C2AFE">
        <w:rPr>
          <w:rStyle w:val="Refdenotaalpie"/>
          <w:rFonts w:ascii="Century Gothic" w:eastAsia="Times New Roman" w:hAnsi="Century Gothic" w:cs="Times New Roman"/>
          <w:color w:val="000000"/>
          <w:sz w:val="23"/>
          <w:szCs w:val="23"/>
          <w:lang w:val="es-ES_tradnl" w:eastAsia="es-ES"/>
        </w:rPr>
        <w:footnoteReference w:id="1"/>
      </w:r>
      <w:r w:rsidR="00C01824" w:rsidRPr="003C2AFE">
        <w:rPr>
          <w:rFonts w:ascii="Century Gothic" w:eastAsia="Times New Roman" w:hAnsi="Century Gothic" w:cs="Times New Roman"/>
          <w:color w:val="000000"/>
          <w:sz w:val="23"/>
          <w:szCs w:val="23"/>
          <w:lang w:val="es-ES_tradnl" w:eastAsia="es-ES"/>
        </w:rPr>
        <w:t xml:space="preserve">, </w:t>
      </w:r>
      <w:r w:rsidR="00C01824" w:rsidRPr="003C2AFE">
        <w:rPr>
          <w:rFonts w:ascii="Century Gothic" w:hAnsi="Century Gothic" w:cs="Arial"/>
          <w:sz w:val="20"/>
          <w:szCs w:val="20"/>
        </w:rPr>
        <w:t>es del orden legal, de allí que sea la ley, el instrumento</w:t>
      </w:r>
      <w:r w:rsidR="005809B5" w:rsidRPr="003C2AFE">
        <w:rPr>
          <w:rFonts w:ascii="Century Gothic" w:hAnsi="Century Gothic" w:cs="Arial"/>
          <w:sz w:val="20"/>
          <w:szCs w:val="20"/>
        </w:rPr>
        <w:t xml:space="preserve"> para determinarla al igual que las </w:t>
      </w:r>
      <w:r w:rsidR="00C01824" w:rsidRPr="003C2AFE">
        <w:rPr>
          <w:rFonts w:ascii="Century Gothic" w:hAnsi="Century Gothic" w:cs="Arial"/>
          <w:sz w:val="20"/>
          <w:szCs w:val="20"/>
        </w:rPr>
        <w:t xml:space="preserve">excepciones a la misma. </w:t>
      </w:r>
      <w:r w:rsidRPr="003C2AFE">
        <w:rPr>
          <w:rFonts w:ascii="Century Gothic" w:hAnsi="Century Gothic" w:cs="Arial"/>
          <w:sz w:val="20"/>
          <w:szCs w:val="20"/>
        </w:rPr>
        <w:t xml:space="preserve">  </w:t>
      </w:r>
    </w:p>
    <w:p w:rsidR="009B14C4" w:rsidRPr="003C2AFE" w:rsidRDefault="009B14C4" w:rsidP="009B14C4">
      <w:pPr>
        <w:spacing w:before="28" w:after="23" w:line="216" w:lineRule="atLeast"/>
        <w:ind w:firstLine="283"/>
        <w:jc w:val="center"/>
        <w:textAlignment w:val="center"/>
        <w:rPr>
          <w:rFonts w:ascii="Century Gothic" w:hAnsi="Century Gothic" w:cs="Arial"/>
          <w:sz w:val="20"/>
          <w:szCs w:val="20"/>
        </w:rPr>
      </w:pPr>
    </w:p>
    <w:p w:rsidR="00C20B0D" w:rsidRPr="003C2AFE" w:rsidRDefault="00C20B0D" w:rsidP="00C20B0D">
      <w:pPr>
        <w:spacing w:after="0"/>
        <w:ind w:firstLine="283"/>
        <w:jc w:val="both"/>
        <w:rPr>
          <w:rFonts w:ascii="Century Gothic" w:hAnsi="Century Gothic" w:cs="Arial"/>
          <w:sz w:val="20"/>
          <w:szCs w:val="20"/>
        </w:rPr>
      </w:pPr>
      <w:r w:rsidRPr="003C2AFE">
        <w:rPr>
          <w:rFonts w:ascii="Century Gothic" w:hAnsi="Century Gothic" w:cs="Arial"/>
          <w:sz w:val="20"/>
          <w:szCs w:val="20"/>
        </w:rPr>
        <w:t>Es por lo anterior, que la ley 344 de 1996, en su artículo </w:t>
      </w:r>
      <w:bookmarkStart w:id="1" w:name="19"/>
      <w:r w:rsidRPr="003C2AFE">
        <w:rPr>
          <w:rFonts w:ascii="Century Gothic" w:hAnsi="Century Gothic" w:cs="Arial"/>
          <w:sz w:val="20"/>
          <w:szCs w:val="20"/>
        </w:rPr>
        <w:t> </w:t>
      </w:r>
      <w:bookmarkEnd w:id="1"/>
      <w:r w:rsidRPr="003C2AFE">
        <w:rPr>
          <w:rFonts w:ascii="Century Gothic" w:hAnsi="Century Gothic" w:cs="Arial"/>
          <w:sz w:val="20"/>
          <w:szCs w:val="20"/>
        </w:rPr>
        <w:t xml:space="preserve">19 estableció una excepción a la edad de retiro forzoso para los docentes universitarios, ampliando la edad límite de 65 hasta los 75 años. Dicho </w:t>
      </w:r>
      <w:r w:rsidR="007C67B7" w:rsidRPr="003C2AFE">
        <w:rPr>
          <w:rFonts w:ascii="Century Gothic" w:hAnsi="Century Gothic" w:cs="Arial"/>
          <w:sz w:val="20"/>
          <w:szCs w:val="20"/>
        </w:rPr>
        <w:t xml:space="preserve">precepto legal establece: </w:t>
      </w:r>
    </w:p>
    <w:p w:rsidR="00C20B0D" w:rsidRPr="003C2AFE" w:rsidRDefault="00C20B0D" w:rsidP="00C20B0D">
      <w:pPr>
        <w:spacing w:after="0"/>
        <w:ind w:firstLine="283"/>
        <w:jc w:val="both"/>
        <w:rPr>
          <w:rFonts w:ascii="Century Gothic" w:hAnsi="Century Gothic" w:cs="Arial"/>
          <w:sz w:val="20"/>
          <w:szCs w:val="20"/>
        </w:rPr>
      </w:pPr>
    </w:p>
    <w:p w:rsidR="00C20B0D" w:rsidRPr="003C2AFE" w:rsidRDefault="00C20B0D" w:rsidP="00C20B0D">
      <w:pPr>
        <w:spacing w:after="0"/>
        <w:ind w:left="709" w:right="1325"/>
        <w:jc w:val="both"/>
        <w:rPr>
          <w:rFonts w:ascii="Century Gothic" w:hAnsi="Century Gothic" w:cs="Arial"/>
          <w:i/>
          <w:sz w:val="20"/>
          <w:szCs w:val="20"/>
          <w:shd w:val="clear" w:color="auto" w:fill="FFFFFF"/>
        </w:rPr>
      </w:pPr>
      <w:r w:rsidRPr="003C2AFE">
        <w:rPr>
          <w:rFonts w:ascii="Century Gothic" w:hAnsi="Century Gothic" w:cs="Arial"/>
          <w:i/>
          <w:sz w:val="20"/>
          <w:szCs w:val="20"/>
          <w:shd w:val="clear" w:color="auto" w:fill="FFFFFF"/>
        </w:rPr>
        <w:t xml:space="preserve">“Sin perjuicio de lo estipulado en las Leyes 91 de 1989, 60 de 1993 y 115 de 1994, el servidor público que adquiera el derecho a disfrutar de su pensión de vejez o jubilación podrá optar por dicho beneficio o continuar vinculado al servicio, hasta que cumpla la edad de retiro forzoso. </w:t>
      </w:r>
      <w:r w:rsidRPr="003C2AFE">
        <w:rPr>
          <w:rFonts w:ascii="Century Gothic" w:hAnsi="Century Gothic" w:cs="Arial"/>
          <w:b/>
          <w:i/>
          <w:sz w:val="20"/>
          <w:szCs w:val="20"/>
          <w:u w:val="single"/>
          <w:shd w:val="clear" w:color="auto" w:fill="FFFFFF"/>
        </w:rPr>
        <w:t>Los docentes universitarios podrán hacerlo hasta por diez años más</w:t>
      </w:r>
      <w:r w:rsidRPr="003C2AFE">
        <w:rPr>
          <w:rFonts w:ascii="Century Gothic" w:hAnsi="Century Gothic" w:cs="Arial"/>
          <w:i/>
          <w:sz w:val="20"/>
          <w:szCs w:val="20"/>
          <w:shd w:val="clear" w:color="auto" w:fill="FFFFFF"/>
        </w:rPr>
        <w:t>. La asignación pensional se empezará a pagar solamente después de haberse producido la terminación de sus servicios en dichas instituciones.”</w:t>
      </w:r>
      <w:r w:rsidRPr="003C2AFE">
        <w:rPr>
          <w:rStyle w:val="Refdenotaalpie"/>
          <w:rFonts w:ascii="Century Gothic" w:hAnsi="Century Gothic" w:cs="Arial"/>
          <w:i/>
          <w:sz w:val="20"/>
          <w:szCs w:val="20"/>
          <w:shd w:val="clear" w:color="auto" w:fill="FFFFFF"/>
        </w:rPr>
        <w:footnoteReference w:id="2"/>
      </w:r>
      <w:r w:rsidR="00F37B6A" w:rsidRPr="003C2AFE">
        <w:rPr>
          <w:rFonts w:ascii="Century Gothic" w:hAnsi="Century Gothic" w:cs="Arial"/>
          <w:i/>
          <w:sz w:val="20"/>
          <w:szCs w:val="20"/>
          <w:shd w:val="clear" w:color="auto" w:fill="FFFFFF"/>
        </w:rPr>
        <w:t xml:space="preserve"> </w:t>
      </w:r>
      <w:r w:rsidR="00F37B6A" w:rsidRPr="003C2AFE">
        <w:rPr>
          <w:rFonts w:ascii="Century Gothic" w:hAnsi="Century Gothic" w:cs="Arial"/>
          <w:b/>
          <w:i/>
          <w:sz w:val="20"/>
          <w:szCs w:val="20"/>
          <w:shd w:val="clear" w:color="auto" w:fill="FFFFFF"/>
        </w:rPr>
        <w:t xml:space="preserve">– Resaltado fuera de texto - </w:t>
      </w:r>
    </w:p>
    <w:p w:rsidR="00C20B0D" w:rsidRPr="003C2AFE" w:rsidRDefault="00C20B0D" w:rsidP="009B14C4">
      <w:pPr>
        <w:spacing w:before="28" w:after="23" w:line="216" w:lineRule="atLeast"/>
        <w:ind w:firstLine="283"/>
        <w:jc w:val="center"/>
        <w:textAlignment w:val="center"/>
        <w:rPr>
          <w:rFonts w:ascii="Century Gothic" w:eastAsia="Times New Roman" w:hAnsi="Century Gothic" w:cs="Times New Roman"/>
          <w:color w:val="000000"/>
          <w:sz w:val="23"/>
          <w:szCs w:val="23"/>
          <w:lang w:val="es-ES_tradnl" w:eastAsia="es-ES"/>
        </w:rPr>
      </w:pPr>
    </w:p>
    <w:p w:rsidR="00C20B0D" w:rsidRPr="003C2AFE" w:rsidRDefault="00C20B0D" w:rsidP="00C20B0D">
      <w:pPr>
        <w:spacing w:after="0"/>
        <w:ind w:firstLine="708"/>
        <w:jc w:val="both"/>
        <w:rPr>
          <w:rFonts w:ascii="Century Gothic" w:hAnsi="Century Gothic" w:cs="Arial"/>
          <w:sz w:val="20"/>
          <w:szCs w:val="20"/>
        </w:rPr>
      </w:pPr>
      <w:r w:rsidRPr="003C2AFE">
        <w:rPr>
          <w:rFonts w:ascii="Century Gothic" w:hAnsi="Century Gothic" w:cs="Arial"/>
          <w:sz w:val="20"/>
          <w:szCs w:val="20"/>
        </w:rPr>
        <w:t>La Co</w:t>
      </w:r>
      <w:r w:rsidR="00CD0621" w:rsidRPr="003C2AFE">
        <w:rPr>
          <w:rFonts w:ascii="Century Gothic" w:hAnsi="Century Gothic" w:cs="Arial"/>
          <w:sz w:val="20"/>
          <w:szCs w:val="20"/>
        </w:rPr>
        <w:t xml:space="preserve">nstitución Política de 1991 estableció </w:t>
      </w:r>
      <w:r w:rsidRPr="003C2AFE">
        <w:rPr>
          <w:rFonts w:ascii="Century Gothic" w:hAnsi="Century Gothic" w:cs="Arial"/>
          <w:sz w:val="20"/>
          <w:szCs w:val="20"/>
        </w:rPr>
        <w:t xml:space="preserve">como garantía constitucional “la autonomía universitaria”, </w:t>
      </w:r>
      <w:r w:rsidR="00CD0621" w:rsidRPr="003C2AFE">
        <w:rPr>
          <w:rFonts w:ascii="Century Gothic" w:hAnsi="Century Gothic" w:cs="Arial"/>
          <w:sz w:val="20"/>
          <w:szCs w:val="20"/>
        </w:rPr>
        <w:t xml:space="preserve">adoptándola como </w:t>
      </w:r>
      <w:r w:rsidRPr="003C2AFE">
        <w:rPr>
          <w:rFonts w:ascii="Century Gothic" w:hAnsi="Century Gothic" w:cs="Arial"/>
          <w:sz w:val="20"/>
          <w:szCs w:val="20"/>
        </w:rPr>
        <w:t>principio</w:t>
      </w:r>
      <w:r w:rsidR="00BE1D8C" w:rsidRPr="003C2AFE">
        <w:rPr>
          <w:rFonts w:ascii="Century Gothic" w:hAnsi="Century Gothic" w:cs="Arial"/>
          <w:sz w:val="20"/>
          <w:szCs w:val="20"/>
        </w:rPr>
        <w:t xml:space="preserve">, el cual fue desarrollado por medio de </w:t>
      </w:r>
      <w:r w:rsidR="00CD0621" w:rsidRPr="003C2AFE">
        <w:rPr>
          <w:rFonts w:ascii="Century Gothic" w:hAnsi="Century Gothic" w:cs="Arial"/>
          <w:sz w:val="20"/>
          <w:szCs w:val="20"/>
        </w:rPr>
        <w:t xml:space="preserve">la </w:t>
      </w:r>
      <w:r w:rsidRPr="003C2AFE">
        <w:rPr>
          <w:rFonts w:ascii="Century Gothic" w:hAnsi="Century Gothic" w:cs="Arial"/>
          <w:sz w:val="20"/>
          <w:szCs w:val="20"/>
        </w:rPr>
        <w:t>ley 30 de 1992</w:t>
      </w:r>
      <w:r w:rsidR="00BE1D8C" w:rsidRPr="003C2AFE">
        <w:rPr>
          <w:rFonts w:ascii="Century Gothic" w:hAnsi="Century Gothic" w:cs="Arial"/>
          <w:sz w:val="20"/>
          <w:szCs w:val="20"/>
        </w:rPr>
        <w:t xml:space="preserve">, en la cual se regula </w:t>
      </w:r>
      <w:r w:rsidRPr="003C2AFE">
        <w:rPr>
          <w:rFonts w:ascii="Century Gothic" w:hAnsi="Century Gothic" w:cs="Arial"/>
          <w:sz w:val="20"/>
          <w:szCs w:val="20"/>
        </w:rPr>
        <w:t>el servicio de educación superior</w:t>
      </w:r>
      <w:r w:rsidR="00BE1D8C" w:rsidRPr="003C2AFE">
        <w:rPr>
          <w:rFonts w:ascii="Century Gothic" w:hAnsi="Century Gothic" w:cs="Arial"/>
          <w:sz w:val="20"/>
          <w:szCs w:val="20"/>
        </w:rPr>
        <w:t xml:space="preserve">. En dicha ley, y en amparo del citado principio, se </w:t>
      </w:r>
      <w:r w:rsidRPr="003C2AFE">
        <w:rPr>
          <w:rFonts w:ascii="Century Gothic" w:hAnsi="Century Gothic" w:cs="Arial"/>
          <w:sz w:val="20"/>
          <w:szCs w:val="20"/>
        </w:rPr>
        <w:t xml:space="preserve">crea una </w:t>
      </w:r>
      <w:r w:rsidR="00BE1D8C" w:rsidRPr="003C2AFE">
        <w:rPr>
          <w:rFonts w:ascii="Century Gothic" w:hAnsi="Century Gothic" w:cs="Arial"/>
          <w:sz w:val="20"/>
          <w:szCs w:val="20"/>
        </w:rPr>
        <w:t xml:space="preserve">nueva </w:t>
      </w:r>
      <w:r w:rsidRPr="003C2AFE">
        <w:rPr>
          <w:rFonts w:ascii="Century Gothic" w:hAnsi="Century Gothic" w:cs="Arial"/>
          <w:sz w:val="20"/>
          <w:szCs w:val="20"/>
        </w:rPr>
        <w:t>categoría de ente público</w:t>
      </w:r>
      <w:r w:rsidR="00BE1D8C" w:rsidRPr="003C2AFE">
        <w:rPr>
          <w:rFonts w:ascii="Century Gothic" w:hAnsi="Century Gothic" w:cs="Arial"/>
          <w:sz w:val="20"/>
          <w:szCs w:val="20"/>
        </w:rPr>
        <w:t>, denominado “Ente Universitario Autónomo” el cual claramente es diferente respecto del sistema orgánico que se predicaba antes de la carta de 1991, en l</w:t>
      </w:r>
      <w:r w:rsidR="000A373A" w:rsidRPr="003C2AFE">
        <w:rPr>
          <w:rFonts w:ascii="Century Gothic" w:hAnsi="Century Gothic" w:cs="Arial"/>
          <w:sz w:val="20"/>
          <w:szCs w:val="20"/>
        </w:rPr>
        <w:t xml:space="preserve">a cual las universidades oficiales tenían el carácter de establecimiento público que dependían de la rama ejecutiva. </w:t>
      </w:r>
      <w:r w:rsidR="00BE1D8C" w:rsidRPr="003C2AFE">
        <w:rPr>
          <w:rFonts w:ascii="Century Gothic" w:hAnsi="Century Gothic" w:cs="Arial"/>
          <w:sz w:val="20"/>
          <w:szCs w:val="20"/>
        </w:rPr>
        <w:t xml:space="preserve"> </w:t>
      </w:r>
    </w:p>
    <w:p w:rsidR="00BE1D8C" w:rsidRPr="003C2AFE" w:rsidRDefault="00BE1D8C" w:rsidP="00C20B0D">
      <w:pPr>
        <w:spacing w:after="0"/>
        <w:ind w:firstLine="708"/>
        <w:jc w:val="both"/>
        <w:rPr>
          <w:rFonts w:ascii="Century Gothic" w:hAnsi="Century Gothic" w:cs="Arial"/>
          <w:color w:val="00B050"/>
          <w:sz w:val="20"/>
          <w:szCs w:val="20"/>
        </w:rPr>
      </w:pPr>
    </w:p>
    <w:p w:rsidR="00C20B0D" w:rsidRPr="003C2AFE" w:rsidRDefault="00C20B0D" w:rsidP="00F746DE">
      <w:pPr>
        <w:spacing w:after="0"/>
        <w:ind w:firstLine="708"/>
        <w:jc w:val="both"/>
        <w:rPr>
          <w:rFonts w:ascii="Century Gothic" w:hAnsi="Century Gothic" w:cs="Arial"/>
          <w:sz w:val="20"/>
          <w:szCs w:val="20"/>
        </w:rPr>
      </w:pPr>
      <w:r w:rsidRPr="003C2AFE">
        <w:rPr>
          <w:rFonts w:ascii="Century Gothic" w:hAnsi="Century Gothic" w:cs="Arial"/>
          <w:sz w:val="20"/>
          <w:szCs w:val="20"/>
        </w:rPr>
        <w:t xml:space="preserve">En consecuencia, a partir de la </w:t>
      </w:r>
      <w:r w:rsidR="000A373A" w:rsidRPr="003C2AFE">
        <w:rPr>
          <w:rFonts w:ascii="Century Gothic" w:hAnsi="Century Gothic" w:cs="Arial"/>
          <w:sz w:val="20"/>
          <w:szCs w:val="20"/>
        </w:rPr>
        <w:t xml:space="preserve">Constitución </w:t>
      </w:r>
      <w:r w:rsidR="00D10554" w:rsidRPr="003C2AFE">
        <w:rPr>
          <w:rFonts w:ascii="Century Gothic" w:hAnsi="Century Gothic" w:cs="Arial"/>
          <w:sz w:val="20"/>
          <w:szCs w:val="20"/>
        </w:rPr>
        <w:t>P</w:t>
      </w:r>
      <w:r w:rsidR="00CD0621" w:rsidRPr="003C2AFE">
        <w:rPr>
          <w:rFonts w:ascii="Century Gothic" w:hAnsi="Century Gothic" w:cs="Arial"/>
          <w:sz w:val="20"/>
          <w:szCs w:val="20"/>
        </w:rPr>
        <w:t xml:space="preserve">olítica </w:t>
      </w:r>
      <w:r w:rsidR="000A373A" w:rsidRPr="003C2AFE">
        <w:rPr>
          <w:rFonts w:ascii="Century Gothic" w:hAnsi="Century Gothic" w:cs="Arial"/>
          <w:sz w:val="20"/>
          <w:szCs w:val="20"/>
        </w:rPr>
        <w:t xml:space="preserve">de 1991, </w:t>
      </w:r>
      <w:r w:rsidRPr="003C2AFE">
        <w:rPr>
          <w:rFonts w:ascii="Century Gothic" w:hAnsi="Century Gothic" w:cs="Arial"/>
          <w:sz w:val="20"/>
          <w:szCs w:val="20"/>
        </w:rPr>
        <w:t>las universidades oficiales dejaron de</w:t>
      </w:r>
      <w:r w:rsidR="00CD0621" w:rsidRPr="003C2AFE">
        <w:rPr>
          <w:rFonts w:ascii="Century Gothic" w:hAnsi="Century Gothic" w:cs="Arial"/>
          <w:sz w:val="20"/>
          <w:szCs w:val="20"/>
        </w:rPr>
        <w:t xml:space="preserve"> pertenecer orgánicamente a la rama ejecutiva del poder p</w:t>
      </w:r>
      <w:r w:rsidRPr="003C2AFE">
        <w:rPr>
          <w:rFonts w:ascii="Century Gothic" w:hAnsi="Century Gothic" w:cs="Arial"/>
          <w:sz w:val="20"/>
          <w:szCs w:val="20"/>
        </w:rPr>
        <w:t>úblico, aunque se mantiene su régimen de vinculación al Ministerio de Educación Nacional en lo relacionado con las políticas y la planeación del sector.  Por tanto, hoy existe un vacío en la legislación sobre la edad de retiro forzoso de los rectores universitarios, pues</w:t>
      </w:r>
      <w:r w:rsidR="000A373A" w:rsidRPr="003C2AFE">
        <w:rPr>
          <w:rFonts w:ascii="Century Gothic" w:hAnsi="Century Gothic" w:cs="Arial"/>
          <w:sz w:val="20"/>
          <w:szCs w:val="20"/>
        </w:rPr>
        <w:t>to que</w:t>
      </w:r>
      <w:r w:rsidRPr="003C2AFE">
        <w:rPr>
          <w:rFonts w:ascii="Century Gothic" w:hAnsi="Century Gothic" w:cs="Arial"/>
          <w:sz w:val="20"/>
          <w:szCs w:val="20"/>
        </w:rPr>
        <w:t>, en vigencia de la legislación anterior y ante el carácter de establecimientos públicos, les era aplicable la edad de retiro forzo</w:t>
      </w:r>
      <w:r w:rsidR="00F66D50" w:rsidRPr="003C2AFE">
        <w:rPr>
          <w:rFonts w:ascii="Century Gothic" w:hAnsi="Century Gothic" w:cs="Arial"/>
          <w:sz w:val="20"/>
          <w:szCs w:val="20"/>
        </w:rPr>
        <w:t>so general establecida para la rama e</w:t>
      </w:r>
      <w:r w:rsidRPr="003C2AFE">
        <w:rPr>
          <w:rFonts w:ascii="Century Gothic" w:hAnsi="Century Gothic" w:cs="Arial"/>
          <w:sz w:val="20"/>
          <w:szCs w:val="20"/>
        </w:rPr>
        <w:t>jecutiva, esto es</w:t>
      </w:r>
      <w:r w:rsidR="00E05ED6" w:rsidRPr="003C2AFE">
        <w:rPr>
          <w:rFonts w:ascii="Century Gothic" w:hAnsi="Century Gothic" w:cs="Arial"/>
          <w:sz w:val="20"/>
          <w:szCs w:val="20"/>
        </w:rPr>
        <w:t>,</w:t>
      </w:r>
      <w:r w:rsidRPr="003C2AFE">
        <w:rPr>
          <w:rFonts w:ascii="Century Gothic" w:hAnsi="Century Gothic" w:cs="Arial"/>
          <w:sz w:val="20"/>
          <w:szCs w:val="20"/>
        </w:rPr>
        <w:t xml:space="preserve"> los sesenta y cinco </w:t>
      </w:r>
      <w:r w:rsidR="00E05ED6" w:rsidRPr="003C2AFE">
        <w:rPr>
          <w:rFonts w:ascii="Century Gothic" w:hAnsi="Century Gothic" w:cs="Arial"/>
          <w:sz w:val="20"/>
          <w:szCs w:val="20"/>
        </w:rPr>
        <w:t xml:space="preserve">(65) </w:t>
      </w:r>
      <w:r w:rsidRPr="003C2AFE">
        <w:rPr>
          <w:rFonts w:ascii="Century Gothic" w:hAnsi="Century Gothic" w:cs="Arial"/>
          <w:sz w:val="20"/>
          <w:szCs w:val="20"/>
        </w:rPr>
        <w:t>años. Pero, aún en vigencia de estas normas, existía la expresa excepción</w:t>
      </w:r>
      <w:r w:rsidR="00E05ED6" w:rsidRPr="003C2AFE">
        <w:rPr>
          <w:rFonts w:ascii="Century Gothic" w:hAnsi="Century Gothic" w:cs="Arial"/>
          <w:sz w:val="20"/>
          <w:szCs w:val="20"/>
        </w:rPr>
        <w:t>, de la ley 344 de 1996, en la cual los docentes pueden permanecer al servicio  hasta la edad de setenta y cinco (75) años</w:t>
      </w:r>
      <w:r w:rsidRPr="003C2AFE">
        <w:rPr>
          <w:rFonts w:ascii="Century Gothic" w:hAnsi="Century Gothic" w:cs="Arial"/>
          <w:sz w:val="20"/>
          <w:szCs w:val="20"/>
        </w:rPr>
        <w:t xml:space="preserve">. </w:t>
      </w:r>
      <w:r w:rsidR="00B83ECC" w:rsidRPr="003C2AFE">
        <w:rPr>
          <w:rFonts w:ascii="Century Gothic" w:hAnsi="Century Gothic" w:cs="Arial"/>
          <w:sz w:val="20"/>
          <w:szCs w:val="20"/>
        </w:rPr>
        <w:t>Como puede apreciarse, no existe norma que regule</w:t>
      </w:r>
      <w:r w:rsidRPr="003C2AFE">
        <w:rPr>
          <w:rFonts w:ascii="Century Gothic" w:hAnsi="Century Gothic" w:cs="Arial"/>
          <w:sz w:val="20"/>
          <w:szCs w:val="20"/>
        </w:rPr>
        <w:t xml:space="preserve"> expresamente </w:t>
      </w:r>
      <w:r w:rsidR="00B83ECC" w:rsidRPr="003C2AFE">
        <w:rPr>
          <w:rFonts w:ascii="Century Gothic" w:hAnsi="Century Gothic" w:cs="Arial"/>
          <w:sz w:val="20"/>
          <w:szCs w:val="20"/>
        </w:rPr>
        <w:t>la edad de retiro forzoso de los rectores de los</w:t>
      </w:r>
      <w:r w:rsidR="00F746DE" w:rsidRPr="003C2AFE">
        <w:rPr>
          <w:rFonts w:ascii="Century Gothic" w:hAnsi="Century Gothic" w:cs="Arial"/>
          <w:sz w:val="20"/>
          <w:szCs w:val="20"/>
        </w:rPr>
        <w:t xml:space="preserve"> </w:t>
      </w:r>
      <w:r w:rsidR="00933E5C" w:rsidRPr="003C2AFE">
        <w:rPr>
          <w:rFonts w:ascii="Century Gothic" w:hAnsi="Century Gothic" w:cs="Arial"/>
          <w:sz w:val="20"/>
          <w:szCs w:val="20"/>
        </w:rPr>
        <w:t>órganos</w:t>
      </w:r>
      <w:r w:rsidR="00B83ECC" w:rsidRPr="003C2AFE">
        <w:rPr>
          <w:rFonts w:ascii="Century Gothic" w:hAnsi="Century Gothic" w:cs="Arial"/>
          <w:sz w:val="20"/>
          <w:szCs w:val="20"/>
        </w:rPr>
        <w:t xml:space="preserve"> autónomos e </w:t>
      </w:r>
      <w:r w:rsidR="00F746DE" w:rsidRPr="003C2AFE">
        <w:rPr>
          <w:rFonts w:ascii="Century Gothic" w:hAnsi="Century Gothic" w:cs="Arial"/>
          <w:sz w:val="20"/>
          <w:szCs w:val="20"/>
        </w:rPr>
        <w:t>independientes</w:t>
      </w:r>
      <w:r w:rsidR="00B83ECC" w:rsidRPr="003C2AFE">
        <w:rPr>
          <w:rFonts w:ascii="Century Gothic" w:hAnsi="Century Gothic" w:cs="Arial"/>
          <w:sz w:val="20"/>
          <w:szCs w:val="20"/>
        </w:rPr>
        <w:t xml:space="preserve"> que nos ocupan, por lo cual el presente proyecto de ley pretende saciar ese </w:t>
      </w:r>
      <w:r w:rsidR="00F746DE" w:rsidRPr="003C2AFE">
        <w:rPr>
          <w:rFonts w:ascii="Century Gothic" w:hAnsi="Century Gothic" w:cs="Arial"/>
          <w:sz w:val="20"/>
          <w:szCs w:val="20"/>
        </w:rPr>
        <w:t>vacío</w:t>
      </w:r>
      <w:r w:rsidR="00B83ECC" w:rsidRPr="003C2AFE">
        <w:rPr>
          <w:rFonts w:ascii="Century Gothic" w:hAnsi="Century Gothic" w:cs="Arial"/>
          <w:sz w:val="20"/>
          <w:szCs w:val="20"/>
        </w:rPr>
        <w:t xml:space="preserve"> </w:t>
      </w:r>
      <w:r w:rsidR="00F746DE" w:rsidRPr="003C2AFE">
        <w:rPr>
          <w:rFonts w:ascii="Century Gothic" w:hAnsi="Century Gothic" w:cs="Arial"/>
          <w:sz w:val="20"/>
          <w:szCs w:val="20"/>
        </w:rPr>
        <w:t>jurídico</w:t>
      </w:r>
      <w:r w:rsidR="00B83ECC" w:rsidRPr="003C2AFE">
        <w:rPr>
          <w:rFonts w:ascii="Century Gothic" w:hAnsi="Century Gothic" w:cs="Arial"/>
          <w:sz w:val="20"/>
          <w:szCs w:val="20"/>
        </w:rPr>
        <w:t>, dando el mismo trato a los rectores</w:t>
      </w:r>
      <w:r w:rsidR="008D7267" w:rsidRPr="003C2AFE">
        <w:rPr>
          <w:rFonts w:ascii="Century Gothic" w:hAnsi="Century Gothic" w:cs="Arial"/>
          <w:sz w:val="20"/>
          <w:szCs w:val="20"/>
        </w:rPr>
        <w:t xml:space="preserve"> universitarios</w:t>
      </w:r>
      <w:r w:rsidR="00B83ECC" w:rsidRPr="003C2AFE">
        <w:rPr>
          <w:rFonts w:ascii="Century Gothic" w:hAnsi="Century Gothic" w:cs="Arial"/>
          <w:sz w:val="20"/>
          <w:szCs w:val="20"/>
        </w:rPr>
        <w:t xml:space="preserve">, frente a la edad de retiro forzoso de los docentes </w:t>
      </w:r>
      <w:r w:rsidR="00434AC0" w:rsidRPr="003C2AFE">
        <w:rPr>
          <w:rFonts w:ascii="Century Gothic" w:hAnsi="Century Gothic" w:cs="Arial"/>
          <w:sz w:val="20"/>
          <w:szCs w:val="20"/>
        </w:rPr>
        <w:t>universitarios.</w:t>
      </w:r>
    </w:p>
    <w:p w:rsidR="00C20B0D" w:rsidRPr="003C2AFE" w:rsidRDefault="00C20B0D" w:rsidP="00C20B0D">
      <w:pPr>
        <w:spacing w:after="0"/>
        <w:jc w:val="both"/>
        <w:rPr>
          <w:rFonts w:ascii="Century Gothic" w:hAnsi="Century Gothic" w:cs="Arial"/>
          <w:color w:val="00B050"/>
          <w:sz w:val="20"/>
          <w:szCs w:val="20"/>
        </w:rPr>
      </w:pPr>
    </w:p>
    <w:p w:rsidR="00C20B0D" w:rsidRPr="003C2AFE" w:rsidRDefault="00C20B0D" w:rsidP="00C20B0D">
      <w:pPr>
        <w:spacing w:after="0"/>
        <w:ind w:firstLine="708"/>
        <w:jc w:val="both"/>
        <w:rPr>
          <w:rFonts w:ascii="Century Gothic" w:hAnsi="Century Gothic" w:cs="Arial"/>
          <w:sz w:val="20"/>
          <w:szCs w:val="20"/>
        </w:rPr>
      </w:pPr>
      <w:r w:rsidRPr="003C2AFE">
        <w:rPr>
          <w:rFonts w:ascii="Century Gothic" w:hAnsi="Century Gothic" w:cs="Arial"/>
          <w:sz w:val="20"/>
          <w:szCs w:val="20"/>
        </w:rPr>
        <w:t xml:space="preserve">Las justificaciones que el legislador tuvo para extender la edad de retiro de los docentes universitarios estatales a setenta y cinco </w:t>
      </w:r>
      <w:r w:rsidR="001362EB" w:rsidRPr="003C2AFE">
        <w:rPr>
          <w:rFonts w:ascii="Century Gothic" w:hAnsi="Century Gothic" w:cs="Arial"/>
          <w:sz w:val="20"/>
          <w:szCs w:val="20"/>
        </w:rPr>
        <w:t xml:space="preserve">(75) </w:t>
      </w:r>
      <w:r w:rsidRPr="003C2AFE">
        <w:rPr>
          <w:rFonts w:ascii="Century Gothic" w:hAnsi="Century Gothic" w:cs="Arial"/>
          <w:sz w:val="20"/>
          <w:szCs w:val="20"/>
        </w:rPr>
        <w:t>años son igualmente válidas  para los rectores universitarios, pues el carácter especial que las regula y la garantía institucional de las que están prov</w:t>
      </w:r>
      <w:r w:rsidR="00E60A2C" w:rsidRPr="003C2AFE">
        <w:rPr>
          <w:rFonts w:ascii="Century Gothic" w:hAnsi="Century Gothic" w:cs="Arial"/>
          <w:sz w:val="20"/>
          <w:szCs w:val="20"/>
        </w:rPr>
        <w:t>istas, aconsejan solucionar este</w:t>
      </w:r>
      <w:r w:rsidRPr="003C2AFE">
        <w:rPr>
          <w:rFonts w:ascii="Century Gothic" w:hAnsi="Century Gothic" w:cs="Arial"/>
          <w:sz w:val="20"/>
          <w:szCs w:val="20"/>
        </w:rPr>
        <w:t xml:space="preserve"> vacío normativo para que ellas puedan, dentro del ejercicio de su autonomía, seleccionar a sus rectores mediante reglas claras que no generen las incertidumbres sobre restricciones ajenas al orden jurídico que pretenden aplicárseles por vía analógica.   </w:t>
      </w:r>
    </w:p>
    <w:p w:rsidR="00C20B0D" w:rsidRPr="003C2AFE" w:rsidRDefault="00C20B0D" w:rsidP="00C20B0D">
      <w:pPr>
        <w:spacing w:after="0"/>
        <w:jc w:val="both"/>
        <w:rPr>
          <w:rFonts w:ascii="Century Gothic" w:hAnsi="Century Gothic" w:cs="Arial"/>
          <w:sz w:val="20"/>
          <w:szCs w:val="20"/>
        </w:rPr>
      </w:pPr>
    </w:p>
    <w:p w:rsidR="00C20B0D" w:rsidRPr="003C2AFE" w:rsidRDefault="00C20B0D" w:rsidP="00C20B0D">
      <w:pPr>
        <w:spacing w:after="0"/>
        <w:ind w:firstLine="708"/>
        <w:jc w:val="both"/>
        <w:rPr>
          <w:rFonts w:ascii="Century Gothic" w:hAnsi="Century Gothic" w:cs="Arial"/>
          <w:sz w:val="20"/>
          <w:szCs w:val="20"/>
        </w:rPr>
      </w:pPr>
      <w:r w:rsidRPr="003C2AFE">
        <w:rPr>
          <w:rFonts w:ascii="Century Gothic" w:hAnsi="Century Gothic" w:cs="Arial"/>
          <w:sz w:val="20"/>
          <w:szCs w:val="20"/>
        </w:rPr>
        <w:t xml:space="preserve">Las universidades estatales deben estar ajenas a las interferencias del poder político y son ellas, a través de sus propias normas, las que deben regular aspectos como los que contempla esta iniciativa, la cual no busca nada diferente a llenar el vacío de legislación y </w:t>
      </w:r>
      <w:r w:rsidR="00662469" w:rsidRPr="003C2AFE">
        <w:rPr>
          <w:rFonts w:ascii="Century Gothic" w:hAnsi="Century Gothic" w:cs="Arial"/>
          <w:sz w:val="20"/>
          <w:szCs w:val="20"/>
        </w:rPr>
        <w:t xml:space="preserve">preservar </w:t>
      </w:r>
      <w:r w:rsidRPr="003C2AFE">
        <w:rPr>
          <w:rFonts w:ascii="Century Gothic" w:hAnsi="Century Gothic" w:cs="Arial"/>
          <w:sz w:val="20"/>
          <w:szCs w:val="20"/>
        </w:rPr>
        <w:t xml:space="preserve">la reserva de ley que jurisprudencialmente se atribuye a estos elementos de la función pública universitaria. </w:t>
      </w:r>
    </w:p>
    <w:p w:rsidR="00C20B0D" w:rsidRPr="003C2AFE" w:rsidRDefault="00C20B0D" w:rsidP="00C20B0D">
      <w:pPr>
        <w:spacing w:after="0"/>
        <w:jc w:val="both"/>
        <w:rPr>
          <w:rFonts w:ascii="Century Gothic" w:hAnsi="Century Gothic" w:cs="Arial"/>
          <w:color w:val="00B050"/>
          <w:sz w:val="20"/>
          <w:szCs w:val="20"/>
        </w:rPr>
      </w:pPr>
    </w:p>
    <w:p w:rsidR="00763A48" w:rsidRPr="003C2AFE" w:rsidRDefault="00763A48" w:rsidP="00C20B0D">
      <w:pPr>
        <w:spacing w:after="0"/>
        <w:jc w:val="both"/>
        <w:rPr>
          <w:rFonts w:ascii="Century Gothic" w:hAnsi="Century Gothic" w:cs="Arial"/>
          <w:sz w:val="20"/>
          <w:szCs w:val="20"/>
        </w:rPr>
      </w:pPr>
      <w:r w:rsidRPr="003C2AFE">
        <w:rPr>
          <w:rFonts w:ascii="Century Gothic" w:hAnsi="Century Gothic" w:cs="Arial"/>
          <w:sz w:val="20"/>
          <w:szCs w:val="20"/>
        </w:rPr>
        <w:t>Conforme lo anteriormente expuesto, véase en el siguiente cuadro la norma vigente y su propuesta:</w:t>
      </w:r>
    </w:p>
    <w:p w:rsidR="00763A48" w:rsidRPr="003C2AFE" w:rsidRDefault="00763A48" w:rsidP="00C20B0D">
      <w:pPr>
        <w:spacing w:after="0"/>
        <w:jc w:val="both"/>
        <w:rPr>
          <w:rFonts w:ascii="Century Gothic" w:hAnsi="Century Gothic" w:cs="Arial"/>
          <w:color w:val="00B050"/>
          <w:sz w:val="20"/>
          <w:szCs w:val="20"/>
        </w:rPr>
      </w:pPr>
    </w:p>
    <w:tbl>
      <w:tblPr>
        <w:tblStyle w:val="Tablaconcuadrcula"/>
        <w:tblW w:w="0" w:type="auto"/>
        <w:tblLook w:val="04A0" w:firstRow="1" w:lastRow="0" w:firstColumn="1" w:lastColumn="0" w:noHBand="0" w:noVBand="1"/>
      </w:tblPr>
      <w:tblGrid>
        <w:gridCol w:w="4489"/>
        <w:gridCol w:w="4489"/>
      </w:tblGrid>
      <w:tr w:rsidR="00763A48" w:rsidRPr="003C2AFE" w:rsidTr="00763A48">
        <w:tc>
          <w:tcPr>
            <w:tcW w:w="4489" w:type="dxa"/>
          </w:tcPr>
          <w:p w:rsidR="00763A48" w:rsidRPr="003C2AFE" w:rsidRDefault="00763A48" w:rsidP="00763A48">
            <w:pPr>
              <w:jc w:val="center"/>
              <w:rPr>
                <w:rFonts w:ascii="Century Gothic" w:hAnsi="Century Gothic" w:cs="Arial"/>
                <w:sz w:val="20"/>
                <w:szCs w:val="20"/>
              </w:rPr>
            </w:pPr>
            <w:r w:rsidRPr="003C2AFE">
              <w:rPr>
                <w:rFonts w:ascii="Century Gothic" w:hAnsi="Century Gothic" w:cs="Arial"/>
                <w:sz w:val="20"/>
                <w:szCs w:val="20"/>
              </w:rPr>
              <w:t>TEXTO PROPUESTO</w:t>
            </w:r>
          </w:p>
        </w:tc>
        <w:tc>
          <w:tcPr>
            <w:tcW w:w="4489" w:type="dxa"/>
          </w:tcPr>
          <w:p w:rsidR="00763A48" w:rsidRPr="003C2AFE" w:rsidRDefault="00763A48" w:rsidP="00763A48">
            <w:pPr>
              <w:jc w:val="center"/>
              <w:rPr>
                <w:rFonts w:ascii="Century Gothic" w:hAnsi="Century Gothic" w:cs="Arial"/>
                <w:sz w:val="20"/>
                <w:szCs w:val="20"/>
              </w:rPr>
            </w:pPr>
            <w:r w:rsidRPr="003C2AFE">
              <w:rPr>
                <w:rFonts w:ascii="Century Gothic" w:hAnsi="Century Gothic" w:cs="Arial"/>
                <w:sz w:val="20"/>
                <w:szCs w:val="20"/>
              </w:rPr>
              <w:t>TEXTO VIGENTE</w:t>
            </w:r>
          </w:p>
        </w:tc>
      </w:tr>
      <w:tr w:rsidR="00763A48" w:rsidRPr="003C2AFE" w:rsidTr="00763A48">
        <w:tc>
          <w:tcPr>
            <w:tcW w:w="4489" w:type="dxa"/>
          </w:tcPr>
          <w:p w:rsidR="00763A48" w:rsidRPr="003C2AFE" w:rsidRDefault="00763A48" w:rsidP="00C20B0D">
            <w:pPr>
              <w:jc w:val="both"/>
              <w:rPr>
                <w:rFonts w:ascii="Century Gothic" w:hAnsi="Century Gothic" w:cs="Arial"/>
                <w:color w:val="00B050"/>
                <w:sz w:val="20"/>
                <w:szCs w:val="20"/>
              </w:rPr>
            </w:pPr>
          </w:p>
          <w:p w:rsidR="00156CF6" w:rsidRPr="003C2AFE" w:rsidRDefault="00156CF6" w:rsidP="00156CF6">
            <w:pPr>
              <w:ind w:left="142" w:right="151"/>
              <w:jc w:val="both"/>
              <w:rPr>
                <w:rFonts w:ascii="Century Gothic" w:hAnsi="Century Gothic" w:cs="Arial"/>
                <w:sz w:val="20"/>
                <w:szCs w:val="20"/>
              </w:rPr>
            </w:pPr>
            <w:r w:rsidRPr="003C2AFE">
              <w:rPr>
                <w:rFonts w:ascii="Century Gothic" w:hAnsi="Century Gothic" w:cs="Arial"/>
                <w:sz w:val="20"/>
                <w:szCs w:val="20"/>
              </w:rPr>
              <w:t>“Artículo 66. El rector es el representante legal y la primera autoridad ejecutiva de la universidad estatal u oficial y será designado por el consejo superior universitario. Su designación, requisitos y calidades se reglamentarán en los respectivos estatutos.</w:t>
            </w:r>
          </w:p>
          <w:p w:rsidR="00156CF6" w:rsidRPr="003C2AFE" w:rsidRDefault="00156CF6" w:rsidP="00156CF6">
            <w:pPr>
              <w:ind w:left="851" w:right="2175"/>
              <w:jc w:val="both"/>
              <w:rPr>
                <w:rFonts w:ascii="Century Gothic" w:hAnsi="Century Gothic" w:cs="Arial"/>
                <w:sz w:val="20"/>
                <w:szCs w:val="20"/>
              </w:rPr>
            </w:pPr>
          </w:p>
          <w:p w:rsidR="00156CF6" w:rsidRPr="003C2AFE" w:rsidRDefault="00156CF6" w:rsidP="00156CF6">
            <w:pPr>
              <w:ind w:left="142" w:right="162"/>
              <w:jc w:val="both"/>
              <w:rPr>
                <w:rFonts w:ascii="Century Gothic" w:hAnsi="Century Gothic" w:cs="Arial"/>
                <w:sz w:val="20"/>
                <w:szCs w:val="20"/>
              </w:rPr>
            </w:pPr>
            <w:r w:rsidRPr="003C2AFE">
              <w:rPr>
                <w:rFonts w:ascii="Century Gothic" w:hAnsi="Century Gothic" w:cs="Arial"/>
                <w:sz w:val="20"/>
                <w:szCs w:val="20"/>
              </w:rPr>
              <w:t xml:space="preserve">Parágrafo </w:t>
            </w:r>
            <w:r w:rsidRPr="003C2AFE">
              <w:rPr>
                <w:rFonts w:ascii="Century Gothic" w:hAnsi="Century Gothic" w:cs="Arial"/>
                <w:b/>
                <w:sz w:val="20"/>
                <w:szCs w:val="20"/>
                <w:u w:val="single"/>
              </w:rPr>
              <w:t>1.</w:t>
            </w:r>
            <w:r w:rsidRPr="003C2AFE">
              <w:rPr>
                <w:rFonts w:ascii="Century Gothic" w:hAnsi="Century Gothic" w:cs="Arial"/>
                <w:sz w:val="20"/>
                <w:szCs w:val="20"/>
              </w:rPr>
              <w:t xml:space="preserve"> La designación del rector de las instituciones estatales u oficiales que no tienen el carácter de universidades de conformidad con la presente ley se efectuará de ternas presentadas por el consejo directivo. El estatuto general determinará los requisitos y calidades que deben reunir los candidatos y los procedimientos para la integración de esta terna, en los cuales deberá preverse la participación democrática de la comunidad académica. </w:t>
            </w:r>
          </w:p>
          <w:p w:rsidR="00156CF6" w:rsidRPr="003C2AFE" w:rsidRDefault="00156CF6" w:rsidP="00156CF6">
            <w:pPr>
              <w:ind w:left="851" w:right="2175"/>
              <w:jc w:val="both"/>
              <w:rPr>
                <w:rFonts w:ascii="Century Gothic" w:hAnsi="Century Gothic" w:cs="Arial"/>
                <w:sz w:val="20"/>
                <w:szCs w:val="20"/>
              </w:rPr>
            </w:pPr>
          </w:p>
          <w:p w:rsidR="00763A48" w:rsidRPr="003C2AFE" w:rsidRDefault="00156CF6" w:rsidP="00E45D39">
            <w:pPr>
              <w:ind w:right="20"/>
              <w:jc w:val="both"/>
              <w:rPr>
                <w:rFonts w:ascii="Century Gothic" w:hAnsi="Century Gothic" w:cs="Arial"/>
                <w:color w:val="00B050"/>
                <w:sz w:val="20"/>
                <w:szCs w:val="20"/>
              </w:rPr>
            </w:pPr>
            <w:r w:rsidRPr="003C2AFE">
              <w:rPr>
                <w:rFonts w:ascii="Century Gothic" w:hAnsi="Century Gothic" w:cs="Arial"/>
                <w:b/>
                <w:sz w:val="20"/>
                <w:szCs w:val="20"/>
              </w:rPr>
              <w:t>Parágrafo 2. La edad de retiro forzoso para los rectores de las universidades estatales u oficiales será la misma establecida en la ley para los docentes universitarios</w:t>
            </w:r>
            <w:r w:rsidR="00E45D39" w:rsidRPr="003C2AFE">
              <w:rPr>
                <w:rFonts w:ascii="Century Gothic" w:hAnsi="Century Gothic" w:cs="Arial"/>
                <w:b/>
                <w:sz w:val="20"/>
                <w:szCs w:val="20"/>
              </w:rPr>
              <w:t>.</w:t>
            </w:r>
            <w:r w:rsidRPr="003C2AFE">
              <w:rPr>
                <w:rFonts w:ascii="Century Gothic" w:hAnsi="Century Gothic" w:cs="Arial"/>
                <w:sz w:val="20"/>
                <w:szCs w:val="20"/>
              </w:rPr>
              <w:t>”</w:t>
            </w:r>
            <w:r w:rsidR="007D4CFE" w:rsidRPr="003C2AFE">
              <w:rPr>
                <w:rFonts w:ascii="Century Gothic" w:hAnsi="Century Gothic" w:cs="Arial"/>
                <w:sz w:val="20"/>
                <w:szCs w:val="20"/>
              </w:rPr>
              <w:t xml:space="preserve"> </w:t>
            </w:r>
            <w:r w:rsidR="00E45D39" w:rsidRPr="003C2AFE">
              <w:rPr>
                <w:rFonts w:ascii="Century Gothic" w:hAnsi="Century Gothic" w:cs="Arial"/>
                <w:sz w:val="20"/>
                <w:szCs w:val="20"/>
              </w:rPr>
              <w:t xml:space="preserve">            </w:t>
            </w:r>
            <w:r w:rsidR="002C5743" w:rsidRPr="003C2AFE">
              <w:rPr>
                <w:rFonts w:ascii="Century Gothic" w:hAnsi="Century Gothic" w:cs="Arial"/>
                <w:sz w:val="20"/>
                <w:szCs w:val="20"/>
              </w:rPr>
              <w:t xml:space="preserve">- </w:t>
            </w:r>
            <w:r w:rsidR="00004B05" w:rsidRPr="003C2AFE">
              <w:rPr>
                <w:rFonts w:ascii="Century Gothic" w:hAnsi="Century Gothic" w:cs="Arial"/>
                <w:sz w:val="20"/>
                <w:szCs w:val="20"/>
              </w:rPr>
              <w:t>Resaltado fuera de texto</w:t>
            </w:r>
            <w:r w:rsidR="002C5743" w:rsidRPr="003C2AFE">
              <w:rPr>
                <w:rFonts w:ascii="Century Gothic" w:hAnsi="Century Gothic" w:cs="Arial"/>
                <w:sz w:val="20"/>
                <w:szCs w:val="20"/>
              </w:rPr>
              <w:t xml:space="preserve"> - </w:t>
            </w:r>
          </w:p>
        </w:tc>
        <w:tc>
          <w:tcPr>
            <w:tcW w:w="4489" w:type="dxa"/>
          </w:tcPr>
          <w:p w:rsidR="00004B05" w:rsidRPr="003C2AFE" w:rsidRDefault="00004B05" w:rsidP="00004B05">
            <w:pPr>
              <w:ind w:right="20"/>
              <w:jc w:val="both"/>
              <w:rPr>
                <w:rFonts w:ascii="Century Gothic" w:hAnsi="Century Gothic" w:cs="Arial"/>
                <w:sz w:val="20"/>
                <w:szCs w:val="20"/>
              </w:rPr>
            </w:pPr>
          </w:p>
          <w:p w:rsidR="00004B05" w:rsidRPr="003C2AFE" w:rsidRDefault="00004B05" w:rsidP="00004B05">
            <w:pPr>
              <w:ind w:right="20"/>
              <w:jc w:val="both"/>
              <w:rPr>
                <w:rFonts w:ascii="Century Gothic" w:hAnsi="Century Gothic" w:cs="Arial"/>
                <w:sz w:val="20"/>
                <w:szCs w:val="20"/>
              </w:rPr>
            </w:pPr>
            <w:r w:rsidRPr="003C2AFE">
              <w:rPr>
                <w:rFonts w:ascii="Century Gothic" w:hAnsi="Century Gothic" w:cs="Arial"/>
                <w:sz w:val="20"/>
                <w:szCs w:val="20"/>
              </w:rPr>
              <w:t>“Artículo 66. El rector es el representante legal y la primera autoridad ejecutiva de la universidad estatal u oficial y será designado por el consejo superior universitario. Su designación, requisitos y calidades se reglamentarán en los respectivos estatutos.</w:t>
            </w:r>
          </w:p>
          <w:p w:rsidR="00004B05" w:rsidRPr="003C2AFE" w:rsidRDefault="00004B05" w:rsidP="00004B05">
            <w:pPr>
              <w:ind w:right="20"/>
              <w:jc w:val="both"/>
              <w:rPr>
                <w:rFonts w:ascii="Century Gothic" w:hAnsi="Century Gothic" w:cs="Arial"/>
                <w:sz w:val="20"/>
                <w:szCs w:val="20"/>
              </w:rPr>
            </w:pPr>
          </w:p>
          <w:p w:rsidR="00004B05" w:rsidRPr="003C2AFE" w:rsidRDefault="00004B05" w:rsidP="00004B05">
            <w:pPr>
              <w:ind w:right="20"/>
              <w:jc w:val="both"/>
              <w:rPr>
                <w:rFonts w:ascii="Century Gothic" w:eastAsia="Times New Roman" w:hAnsi="Century Gothic" w:cs="Arial"/>
                <w:color w:val="000000"/>
                <w:sz w:val="20"/>
                <w:szCs w:val="20"/>
                <w:lang w:val="es-ES" w:eastAsia="es-ES"/>
              </w:rPr>
            </w:pPr>
            <w:r w:rsidRPr="003C2AFE">
              <w:rPr>
                <w:rFonts w:ascii="Century Gothic" w:hAnsi="Century Gothic" w:cs="Arial"/>
                <w:sz w:val="20"/>
                <w:szCs w:val="20"/>
              </w:rPr>
              <w:t>Parágrafo. La designación del rector de las instituciones estatales u oficiales que no tienen el carácter de universidades de conformidad con la presente ley se</w:t>
            </w:r>
            <w:r w:rsidRPr="003C2AFE">
              <w:rPr>
                <w:rFonts w:ascii="Century Gothic" w:eastAsia="Times New Roman" w:hAnsi="Century Gothic" w:cs="Arial"/>
                <w:color w:val="000000"/>
                <w:sz w:val="20"/>
                <w:szCs w:val="20"/>
                <w:lang w:val="es-ES" w:eastAsia="es-ES"/>
              </w:rPr>
              <w:t xml:space="preserve"> efectuará </w:t>
            </w:r>
            <w:r w:rsidRPr="003C2AFE">
              <w:rPr>
                <w:rFonts w:ascii="Century Gothic" w:eastAsia="Times New Roman" w:hAnsi="Century Gothic" w:cs="Arial"/>
                <w:color w:val="000000"/>
                <w:sz w:val="20"/>
                <w:szCs w:val="20"/>
                <w:u w:val="single"/>
                <w:lang w:val="es-ES" w:eastAsia="es-ES"/>
              </w:rPr>
              <w:t>por parte del Presidente de la República, el gobernador o el alcalde según el caso</w:t>
            </w:r>
            <w:r w:rsidRPr="003C2AFE">
              <w:rPr>
                <w:rFonts w:ascii="Century Gothic" w:eastAsia="Times New Roman" w:hAnsi="Century Gothic" w:cs="Arial"/>
                <w:color w:val="000000"/>
                <w:sz w:val="20"/>
                <w:szCs w:val="20"/>
                <w:lang w:val="es-ES" w:eastAsia="es-ES"/>
              </w:rPr>
              <w:t>, de ternas presentadas por el consejo directivo. El estatuto general determinará los requisitos y calidades que deben reunir los candidatos y los procedimientos para la integración de esta terna, en los cuales deberá preverse la participación democrática de la comunidad académica.”</w:t>
            </w:r>
            <w:r w:rsidR="002C5743" w:rsidRPr="003C2AFE">
              <w:rPr>
                <w:rFonts w:ascii="Century Gothic" w:eastAsia="Times New Roman" w:hAnsi="Century Gothic" w:cs="Arial"/>
                <w:color w:val="000000"/>
                <w:sz w:val="20"/>
                <w:szCs w:val="20"/>
                <w:lang w:val="es-ES" w:eastAsia="es-ES"/>
              </w:rPr>
              <w:t xml:space="preserve"> </w:t>
            </w:r>
            <w:r w:rsidR="002C5743" w:rsidRPr="003C2AFE">
              <w:rPr>
                <w:rFonts w:ascii="Century Gothic" w:hAnsi="Century Gothic" w:cs="Arial"/>
                <w:sz w:val="20"/>
                <w:szCs w:val="20"/>
              </w:rPr>
              <w:t>- Resaltado fuera de texto -</w:t>
            </w:r>
          </w:p>
          <w:p w:rsidR="00004B05" w:rsidRPr="003C2AFE" w:rsidRDefault="00004B05" w:rsidP="00004B05">
            <w:pPr>
              <w:spacing w:before="100" w:beforeAutospacing="1" w:after="100" w:afterAutospacing="1"/>
              <w:rPr>
                <w:rFonts w:ascii="Century Gothic" w:eastAsia="Times New Roman" w:hAnsi="Century Gothic" w:cs="Arial"/>
                <w:bCs/>
                <w:color w:val="000000"/>
                <w:sz w:val="20"/>
                <w:szCs w:val="20"/>
                <w:shd w:val="clear" w:color="auto" w:fill="FFFFFF"/>
                <w:lang w:val="es-ES" w:eastAsia="es-ES"/>
              </w:rPr>
            </w:pPr>
            <w:r w:rsidRPr="003C2AFE">
              <w:rPr>
                <w:rFonts w:ascii="Century Gothic" w:eastAsia="Times New Roman" w:hAnsi="Century Gothic" w:cs="Arial"/>
                <w:bCs/>
                <w:color w:val="000000"/>
                <w:sz w:val="20"/>
                <w:szCs w:val="20"/>
                <w:shd w:val="clear" w:color="auto" w:fill="FFFFFF"/>
                <w:lang w:val="es-ES" w:eastAsia="es-ES"/>
              </w:rPr>
              <w:t>NOTA: El texto subrayado fue declarado INEXEQUIBLE por la Corte Constitucional en Sentencia C-506 de 1999.</w:t>
            </w:r>
          </w:p>
          <w:p w:rsidR="00763A48" w:rsidRPr="003C2AFE" w:rsidRDefault="00763A48" w:rsidP="00C20B0D">
            <w:pPr>
              <w:jc w:val="both"/>
              <w:rPr>
                <w:rFonts w:ascii="Century Gothic" w:hAnsi="Century Gothic" w:cs="Arial"/>
                <w:color w:val="00B050"/>
                <w:sz w:val="20"/>
                <w:szCs w:val="20"/>
              </w:rPr>
            </w:pPr>
          </w:p>
        </w:tc>
      </w:tr>
    </w:tbl>
    <w:p w:rsidR="00763A48" w:rsidRPr="003C2AFE" w:rsidRDefault="00763A48" w:rsidP="00C20B0D">
      <w:pPr>
        <w:spacing w:after="0"/>
        <w:jc w:val="both"/>
        <w:rPr>
          <w:rFonts w:ascii="Century Gothic" w:hAnsi="Century Gothic" w:cs="Arial"/>
          <w:color w:val="00B050"/>
          <w:sz w:val="20"/>
          <w:szCs w:val="20"/>
        </w:rPr>
      </w:pPr>
    </w:p>
    <w:p w:rsidR="00763A48" w:rsidRPr="003C2AFE" w:rsidRDefault="00763A48" w:rsidP="00C20B0D">
      <w:pPr>
        <w:spacing w:after="0"/>
        <w:jc w:val="both"/>
        <w:rPr>
          <w:rFonts w:ascii="Century Gothic" w:hAnsi="Century Gothic" w:cs="Arial"/>
          <w:color w:val="00B050"/>
          <w:sz w:val="20"/>
          <w:szCs w:val="20"/>
        </w:rPr>
      </w:pPr>
    </w:p>
    <w:p w:rsidR="009B14C4" w:rsidRPr="003C2AFE" w:rsidRDefault="005C43C0" w:rsidP="009B14C4">
      <w:pPr>
        <w:spacing w:after="0"/>
        <w:ind w:right="49" w:firstLine="708"/>
        <w:jc w:val="both"/>
        <w:rPr>
          <w:rFonts w:ascii="Century Gothic" w:hAnsi="Century Gothic" w:cs="Arial"/>
          <w:sz w:val="20"/>
          <w:szCs w:val="20"/>
        </w:rPr>
      </w:pPr>
      <w:r w:rsidRPr="003C2AFE">
        <w:rPr>
          <w:rFonts w:ascii="Century Gothic" w:hAnsi="Century Gothic" w:cs="Arial"/>
          <w:sz w:val="20"/>
          <w:szCs w:val="20"/>
        </w:rPr>
        <w:t>De otro lado, e</w:t>
      </w:r>
      <w:r w:rsidR="009B14C4" w:rsidRPr="003C2AFE">
        <w:rPr>
          <w:rFonts w:ascii="Century Gothic" w:hAnsi="Century Gothic" w:cs="Arial"/>
          <w:sz w:val="20"/>
          <w:szCs w:val="20"/>
        </w:rPr>
        <w:t>l artículo que se pretende modificar con la adición del parágrafo que se menciona en el presente proyecto de ley</w:t>
      </w:r>
      <w:r w:rsidR="00933E5C" w:rsidRPr="003C2AFE">
        <w:rPr>
          <w:rFonts w:ascii="Century Gothic" w:hAnsi="Century Gothic" w:cs="Arial"/>
          <w:sz w:val="20"/>
          <w:szCs w:val="20"/>
        </w:rPr>
        <w:t>,</w:t>
      </w:r>
      <w:r w:rsidR="009B14C4" w:rsidRPr="003C2AFE">
        <w:rPr>
          <w:rFonts w:ascii="Century Gothic" w:hAnsi="Century Gothic" w:cs="Arial"/>
          <w:sz w:val="20"/>
          <w:szCs w:val="20"/>
        </w:rPr>
        <w:t xml:space="preserve"> fue sometido a control constitucional por parte de la Corte Constitucional en la sentencia </w:t>
      </w:r>
      <w:r w:rsidR="009B14C4" w:rsidRPr="003C2AFE">
        <w:rPr>
          <w:rFonts w:ascii="Century Gothic" w:hAnsi="Century Gothic" w:cs="Arial"/>
          <w:bCs/>
          <w:color w:val="000000"/>
          <w:sz w:val="20"/>
          <w:szCs w:val="20"/>
          <w:shd w:val="clear" w:color="auto" w:fill="FFFFFF"/>
        </w:rPr>
        <w:t xml:space="preserve">C-506 de 1999, en la cual se declaró inexequible la frase: </w:t>
      </w:r>
      <w:r w:rsidR="009B14C4" w:rsidRPr="003C2AFE">
        <w:rPr>
          <w:rFonts w:ascii="Century Gothic" w:hAnsi="Century Gothic" w:cs="Arial"/>
          <w:i/>
          <w:sz w:val="20"/>
          <w:szCs w:val="20"/>
        </w:rPr>
        <w:t xml:space="preserve">"... por parte del Presidente de la República, el Gobernador, o el Alcalde, según el </w:t>
      </w:r>
      <w:r w:rsidR="00C01824" w:rsidRPr="003C2AFE">
        <w:rPr>
          <w:rFonts w:ascii="Century Gothic" w:hAnsi="Century Gothic" w:cs="Arial"/>
          <w:i/>
          <w:sz w:val="20"/>
          <w:szCs w:val="20"/>
        </w:rPr>
        <w:t>caso...</w:t>
      </w:r>
      <w:r w:rsidR="009B14C4" w:rsidRPr="003C2AFE">
        <w:rPr>
          <w:rFonts w:ascii="Century Gothic" w:hAnsi="Century Gothic" w:cs="Arial"/>
          <w:i/>
          <w:sz w:val="20"/>
          <w:szCs w:val="20"/>
        </w:rPr>
        <w:t>"</w:t>
      </w:r>
      <w:r w:rsidR="009B14C4" w:rsidRPr="003C2AFE">
        <w:rPr>
          <w:rFonts w:ascii="Century Gothic" w:hAnsi="Century Gothic" w:cs="Arial"/>
          <w:sz w:val="20"/>
          <w:szCs w:val="20"/>
        </w:rPr>
        <w:t xml:space="preserve">. Dicha frase en el presente proyecto se elimina del texto sometido a trámite </w:t>
      </w:r>
      <w:r w:rsidR="00087625" w:rsidRPr="003C2AFE">
        <w:rPr>
          <w:rFonts w:ascii="Century Gothic" w:hAnsi="Century Gothic" w:cs="Arial"/>
          <w:sz w:val="20"/>
          <w:szCs w:val="20"/>
        </w:rPr>
        <w:t xml:space="preserve">legislativo en aras de la preservación del </w:t>
      </w:r>
      <w:r w:rsidR="00600806" w:rsidRPr="003C2AFE">
        <w:rPr>
          <w:rFonts w:ascii="Century Gothic" w:hAnsi="Century Gothic" w:cs="Arial"/>
          <w:sz w:val="20"/>
          <w:szCs w:val="20"/>
        </w:rPr>
        <w:t xml:space="preserve">orden </w:t>
      </w:r>
      <w:r w:rsidR="00087625" w:rsidRPr="003C2AFE">
        <w:rPr>
          <w:rFonts w:ascii="Century Gothic" w:hAnsi="Century Gothic" w:cs="Arial"/>
          <w:sz w:val="20"/>
          <w:szCs w:val="20"/>
        </w:rPr>
        <w:t>jurídico vigente.</w:t>
      </w:r>
    </w:p>
    <w:p w:rsidR="009B14C4" w:rsidRPr="003C2AFE" w:rsidRDefault="009B14C4" w:rsidP="00B3390B">
      <w:pPr>
        <w:spacing w:before="28" w:after="23" w:line="216" w:lineRule="atLeast"/>
        <w:ind w:firstLine="283"/>
        <w:jc w:val="both"/>
        <w:textAlignment w:val="center"/>
        <w:rPr>
          <w:rFonts w:ascii="Century Gothic" w:eastAsia="Times New Roman" w:hAnsi="Century Gothic" w:cs="Times New Roman"/>
          <w:color w:val="000000"/>
          <w:sz w:val="27"/>
          <w:szCs w:val="27"/>
          <w:lang w:val="es-ES" w:eastAsia="es-ES"/>
        </w:rPr>
      </w:pPr>
    </w:p>
    <w:p w:rsidR="00EB6554" w:rsidRPr="003C2AFE" w:rsidRDefault="00EB6554" w:rsidP="00BB2157">
      <w:pPr>
        <w:pStyle w:val="NormalWeb"/>
        <w:jc w:val="both"/>
        <w:rPr>
          <w:rStyle w:val="baj"/>
          <w:rFonts w:ascii="Century Gothic" w:hAnsi="Century Gothic" w:cs="Arial"/>
          <w:b/>
          <w:bCs/>
          <w:color w:val="FF0000"/>
          <w:sz w:val="20"/>
          <w:szCs w:val="20"/>
        </w:rPr>
      </w:pPr>
    </w:p>
    <w:p w:rsidR="00933E5C" w:rsidRPr="003C2AFE" w:rsidRDefault="00933E5C" w:rsidP="00BB2157">
      <w:pPr>
        <w:pStyle w:val="NormalWeb"/>
        <w:jc w:val="both"/>
        <w:rPr>
          <w:rStyle w:val="baj"/>
          <w:rFonts w:ascii="Century Gothic" w:hAnsi="Century Gothic" w:cs="Arial"/>
          <w:b/>
          <w:bCs/>
          <w:color w:val="FF0000"/>
          <w:sz w:val="20"/>
          <w:szCs w:val="20"/>
        </w:rPr>
      </w:pPr>
    </w:p>
    <w:p w:rsidR="00933E5C" w:rsidRPr="003C2AFE" w:rsidRDefault="00933E5C" w:rsidP="00933E5C">
      <w:pPr>
        <w:pStyle w:val="NormalWeb"/>
        <w:jc w:val="center"/>
        <w:rPr>
          <w:rStyle w:val="baj"/>
          <w:rFonts w:ascii="Century Gothic" w:hAnsi="Century Gothic" w:cs="Arial"/>
          <w:b/>
          <w:bCs/>
          <w:color w:val="FF0000"/>
          <w:sz w:val="20"/>
          <w:szCs w:val="20"/>
        </w:rPr>
      </w:pPr>
    </w:p>
    <w:p w:rsidR="00933E5C" w:rsidRPr="003C2AFE" w:rsidRDefault="00933E5C" w:rsidP="003C2AFE">
      <w:pPr>
        <w:pStyle w:val="NormalWeb"/>
        <w:jc w:val="center"/>
        <w:rPr>
          <w:rStyle w:val="baj"/>
          <w:rFonts w:ascii="Century Gothic" w:hAnsi="Century Gothic" w:cs="Arial"/>
          <w:b/>
          <w:bCs/>
          <w:color w:val="FF0000"/>
          <w:sz w:val="20"/>
          <w:szCs w:val="20"/>
        </w:rPr>
      </w:pPr>
      <w:r w:rsidRPr="003C2AFE">
        <w:rPr>
          <w:rStyle w:val="baj"/>
          <w:rFonts w:ascii="Century Gothic" w:hAnsi="Century Gothic" w:cs="Arial"/>
          <w:b/>
          <w:bCs/>
          <w:sz w:val="20"/>
          <w:szCs w:val="20"/>
        </w:rPr>
        <w:t>LUIS FERNANDO DUQUE GARCIA</w:t>
      </w:r>
    </w:p>
    <w:p w:rsidR="00933E5C" w:rsidRPr="003C2AFE" w:rsidRDefault="00933E5C" w:rsidP="00BB2157">
      <w:pPr>
        <w:pStyle w:val="NormalWeb"/>
        <w:jc w:val="both"/>
        <w:rPr>
          <w:rStyle w:val="baj"/>
          <w:rFonts w:ascii="Century Gothic" w:hAnsi="Century Gothic" w:cs="Arial"/>
          <w:b/>
          <w:bCs/>
          <w:color w:val="FF0000"/>
          <w:sz w:val="20"/>
          <w:szCs w:val="20"/>
        </w:rPr>
      </w:pPr>
    </w:p>
    <w:p w:rsidR="003C2AFE" w:rsidRPr="003C2AFE" w:rsidRDefault="003C2AFE">
      <w:pPr>
        <w:pStyle w:val="NormalWeb"/>
        <w:jc w:val="both"/>
        <w:rPr>
          <w:rStyle w:val="baj"/>
          <w:rFonts w:ascii="Century Gothic" w:hAnsi="Century Gothic" w:cs="Arial"/>
          <w:b/>
          <w:bCs/>
          <w:color w:val="FF0000"/>
          <w:sz w:val="20"/>
          <w:szCs w:val="20"/>
        </w:rPr>
      </w:pPr>
    </w:p>
    <w:sectPr w:rsidR="003C2AFE" w:rsidRPr="003C2AFE" w:rsidSect="00685F45">
      <w:headerReference w:type="default" r:id="rId9"/>
      <w:footerReference w:type="default" r:id="rId10"/>
      <w:pgSz w:w="12240" w:h="15840"/>
      <w:pgMar w:top="709" w:right="1701" w:bottom="156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E5C" w:rsidRDefault="00933E5C" w:rsidP="00E45A7E">
      <w:pPr>
        <w:spacing w:after="0" w:line="240" w:lineRule="auto"/>
      </w:pPr>
      <w:r>
        <w:separator/>
      </w:r>
    </w:p>
  </w:endnote>
  <w:endnote w:type="continuationSeparator" w:id="0">
    <w:p w:rsidR="00933E5C" w:rsidRDefault="00933E5C" w:rsidP="00E45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E5C" w:rsidRDefault="00933E5C" w:rsidP="00E45A7E">
    <w:pPr>
      <w:pStyle w:val="Piedepgina"/>
      <w:jc w:val="center"/>
      <w:rPr>
        <w:rFonts w:ascii="Gill Sans MT" w:hAnsi="Gill Sans MT"/>
        <w:spacing w:val="60"/>
        <w:sz w:val="20"/>
        <w:szCs w:val="20"/>
      </w:rPr>
    </w:pPr>
    <w:r>
      <w:rPr>
        <w:noProof/>
        <w:lang w:eastAsia="es-CO"/>
      </w:rPr>
      <w:drawing>
        <wp:inline distT="0" distB="0" distL="0" distR="0" wp14:anchorId="0A3C9244" wp14:editId="50C3E436">
          <wp:extent cx="3114675" cy="2667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266700"/>
                  </a:xfrm>
                  <a:prstGeom prst="rect">
                    <a:avLst/>
                  </a:prstGeom>
                  <a:noFill/>
                  <a:ln>
                    <a:noFill/>
                  </a:ln>
                </pic:spPr>
              </pic:pic>
            </a:graphicData>
          </a:graphic>
        </wp:inline>
      </w:drawing>
    </w:r>
  </w:p>
  <w:p w:rsidR="00933E5C" w:rsidRDefault="00933E5C" w:rsidP="00E45A7E">
    <w:pPr>
      <w:pStyle w:val="Piedepgina"/>
      <w:jc w:val="center"/>
      <w:rPr>
        <w:rFonts w:ascii="Gill Sans MT" w:hAnsi="Gill Sans MT"/>
        <w:spacing w:val="60"/>
        <w:sz w:val="20"/>
        <w:szCs w:val="20"/>
      </w:rPr>
    </w:pPr>
    <w:r>
      <w:rPr>
        <w:rFonts w:ascii="Gill Sans MT" w:hAnsi="Gill Sans MT"/>
        <w:spacing w:val="60"/>
        <w:sz w:val="20"/>
        <w:szCs w:val="20"/>
      </w:rPr>
      <w:t xml:space="preserve">Edificio Nuevo del Congreso </w:t>
    </w:r>
    <w:proofErr w:type="spellStart"/>
    <w:r>
      <w:rPr>
        <w:rFonts w:ascii="Gill Sans MT" w:hAnsi="Gill Sans MT"/>
        <w:spacing w:val="60"/>
        <w:sz w:val="20"/>
        <w:szCs w:val="20"/>
      </w:rPr>
      <w:t>Cra</w:t>
    </w:r>
    <w:proofErr w:type="spellEnd"/>
    <w:r>
      <w:rPr>
        <w:rFonts w:ascii="Gill Sans MT" w:hAnsi="Gill Sans MT"/>
        <w:spacing w:val="60"/>
        <w:sz w:val="20"/>
        <w:szCs w:val="20"/>
      </w:rPr>
      <w:t xml:space="preserve"> 7ª No 8-68 Oficina 230</w:t>
    </w:r>
  </w:p>
  <w:p w:rsidR="00933E5C" w:rsidRDefault="00933E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E5C" w:rsidRDefault="00933E5C" w:rsidP="00E45A7E">
      <w:pPr>
        <w:spacing w:after="0" w:line="240" w:lineRule="auto"/>
      </w:pPr>
      <w:r>
        <w:separator/>
      </w:r>
    </w:p>
  </w:footnote>
  <w:footnote w:type="continuationSeparator" w:id="0">
    <w:p w:rsidR="00933E5C" w:rsidRDefault="00933E5C" w:rsidP="00E45A7E">
      <w:pPr>
        <w:spacing w:after="0" w:line="240" w:lineRule="auto"/>
      </w:pPr>
      <w:r>
        <w:continuationSeparator/>
      </w:r>
    </w:p>
  </w:footnote>
  <w:footnote w:id="1">
    <w:p w:rsidR="00933E5C" w:rsidRPr="00C01824" w:rsidRDefault="00933E5C" w:rsidP="00817578">
      <w:pPr>
        <w:shd w:val="clear" w:color="auto" w:fill="FFFFFF"/>
        <w:spacing w:before="100" w:beforeAutospacing="1" w:after="100" w:afterAutospacing="1" w:line="240" w:lineRule="auto"/>
        <w:ind w:left="142" w:hanging="142"/>
        <w:rPr>
          <w:rFonts w:ascii="Century Gothic" w:eastAsia="Times New Roman" w:hAnsi="Century Gothic" w:cs="Arial"/>
          <w:color w:val="000000"/>
          <w:sz w:val="16"/>
          <w:szCs w:val="16"/>
          <w:lang w:val="es-ES" w:eastAsia="es-ES"/>
        </w:rPr>
      </w:pPr>
      <w:r w:rsidRPr="00C01824">
        <w:rPr>
          <w:rStyle w:val="Refdenotaalpie"/>
          <w:rFonts w:ascii="Century Gothic" w:hAnsi="Century Gothic"/>
          <w:sz w:val="16"/>
          <w:szCs w:val="16"/>
        </w:rPr>
        <w:footnoteRef/>
      </w:r>
      <w:r w:rsidRPr="00C01824">
        <w:rPr>
          <w:rFonts w:ascii="Century Gothic" w:hAnsi="Century Gothic"/>
          <w:sz w:val="16"/>
          <w:szCs w:val="16"/>
        </w:rPr>
        <w:t xml:space="preserve"> República de Colombia. Constitución Política. Artículo 125: “</w:t>
      </w:r>
      <w:r w:rsidRPr="00C01824">
        <w:rPr>
          <w:rFonts w:ascii="Century Gothic" w:eastAsia="Times New Roman" w:hAnsi="Century Gothic" w:cs="Arial"/>
          <w:color w:val="000000"/>
          <w:sz w:val="16"/>
          <w:szCs w:val="16"/>
          <w:lang w:val="es-ES" w:eastAsia="es-ES"/>
        </w:rPr>
        <w:t>Los empleos en los órganos y entidades del Estado son de carrera. Se exceptúan los de elección popular, los de libre nombramiento y remoción, los de trabajadores oficiales y los demás que determine la ley.</w:t>
      </w:r>
    </w:p>
    <w:p w:rsidR="00933E5C" w:rsidRDefault="00933E5C" w:rsidP="00817578">
      <w:pPr>
        <w:shd w:val="clear" w:color="auto" w:fill="FFFFFF"/>
        <w:spacing w:before="100" w:beforeAutospacing="1" w:after="100" w:afterAutospacing="1" w:line="240" w:lineRule="auto"/>
        <w:ind w:left="142"/>
        <w:rPr>
          <w:rFonts w:ascii="Century Gothic" w:eastAsia="Times New Roman" w:hAnsi="Century Gothic" w:cs="Arial"/>
          <w:color w:val="000000"/>
          <w:sz w:val="16"/>
          <w:szCs w:val="16"/>
          <w:lang w:val="es-ES" w:eastAsia="es-ES"/>
        </w:rPr>
      </w:pPr>
      <w:r w:rsidRPr="00C01824">
        <w:rPr>
          <w:rFonts w:ascii="Century Gothic" w:eastAsia="Times New Roman" w:hAnsi="Century Gothic" w:cs="Arial"/>
          <w:color w:val="000000"/>
          <w:sz w:val="16"/>
          <w:szCs w:val="16"/>
          <w:lang w:val="es-ES" w:eastAsia="es-ES"/>
        </w:rPr>
        <w:t>Los funcionarios, cuyo sistema de nombramiento no haya sido determinado por la Constitución o la ley, serán nombrados por concurso público.</w:t>
      </w:r>
      <w:r>
        <w:rPr>
          <w:rFonts w:ascii="Century Gothic" w:eastAsia="Times New Roman" w:hAnsi="Century Gothic" w:cs="Arial"/>
          <w:color w:val="000000"/>
          <w:sz w:val="16"/>
          <w:szCs w:val="16"/>
          <w:lang w:val="es-ES" w:eastAsia="es-ES"/>
        </w:rPr>
        <w:t xml:space="preserve"> </w:t>
      </w:r>
    </w:p>
    <w:p w:rsidR="00933E5C" w:rsidRPr="00C01824" w:rsidRDefault="00933E5C" w:rsidP="00817578">
      <w:pPr>
        <w:shd w:val="clear" w:color="auto" w:fill="FFFFFF"/>
        <w:spacing w:before="100" w:beforeAutospacing="1" w:after="100" w:afterAutospacing="1" w:line="240" w:lineRule="auto"/>
        <w:ind w:left="142"/>
        <w:rPr>
          <w:rFonts w:ascii="Century Gothic" w:eastAsia="Times New Roman" w:hAnsi="Century Gothic" w:cs="Arial"/>
          <w:color w:val="000000"/>
          <w:sz w:val="16"/>
          <w:szCs w:val="16"/>
          <w:lang w:val="es-ES" w:eastAsia="es-ES"/>
        </w:rPr>
      </w:pPr>
      <w:r w:rsidRPr="00C01824">
        <w:rPr>
          <w:rFonts w:ascii="Century Gothic" w:eastAsia="Times New Roman" w:hAnsi="Century Gothic" w:cs="Arial"/>
          <w:color w:val="000000"/>
          <w:sz w:val="16"/>
          <w:szCs w:val="16"/>
          <w:lang w:val="es-ES" w:eastAsia="es-ES"/>
        </w:rPr>
        <w:t>El ingreso a los cargos de carrera y el ascenso en los mismos, se harán previo cumplimiento de los requisitos y condiciones que fije la ley para determinar los méritos y calidades de los aspirantes.</w:t>
      </w:r>
    </w:p>
    <w:p w:rsidR="00933E5C" w:rsidRPr="00C01824" w:rsidRDefault="00933E5C" w:rsidP="00817578">
      <w:pPr>
        <w:shd w:val="clear" w:color="auto" w:fill="FFFFFF"/>
        <w:spacing w:before="100" w:beforeAutospacing="1" w:after="100" w:afterAutospacing="1" w:line="240" w:lineRule="auto"/>
        <w:ind w:left="142"/>
        <w:rPr>
          <w:rFonts w:ascii="Century Gothic" w:eastAsia="Times New Roman" w:hAnsi="Century Gothic" w:cs="Arial"/>
          <w:color w:val="000000"/>
          <w:sz w:val="16"/>
          <w:szCs w:val="16"/>
          <w:lang w:val="es-ES" w:eastAsia="es-ES"/>
        </w:rPr>
      </w:pPr>
      <w:r w:rsidRPr="00C01824">
        <w:rPr>
          <w:rFonts w:ascii="Century Gothic" w:eastAsia="Times New Roman" w:hAnsi="Century Gothic" w:cs="Arial"/>
          <w:color w:val="000000"/>
          <w:sz w:val="16"/>
          <w:szCs w:val="16"/>
          <w:lang w:val="es-ES" w:eastAsia="es-ES"/>
        </w:rPr>
        <w:t>El retiro se hará: por calificación no satisfactoria en el desempeño del empleo; por violación del régimen disciplinario y por las demás causales previstas en la Constitución o la ley.</w:t>
      </w:r>
    </w:p>
    <w:p w:rsidR="00933E5C" w:rsidRPr="00C01824" w:rsidRDefault="00933E5C" w:rsidP="00817578">
      <w:pPr>
        <w:shd w:val="clear" w:color="auto" w:fill="FFFFFF"/>
        <w:spacing w:before="100" w:beforeAutospacing="1" w:after="100" w:afterAutospacing="1" w:line="240" w:lineRule="auto"/>
        <w:ind w:left="142"/>
        <w:rPr>
          <w:rFonts w:ascii="Century Gothic" w:eastAsia="Times New Roman" w:hAnsi="Century Gothic" w:cs="Arial"/>
          <w:color w:val="000000"/>
          <w:sz w:val="16"/>
          <w:szCs w:val="16"/>
          <w:lang w:val="es-ES" w:eastAsia="es-ES"/>
        </w:rPr>
      </w:pPr>
      <w:r w:rsidRPr="00C01824">
        <w:rPr>
          <w:rFonts w:ascii="Century Gothic" w:eastAsia="Times New Roman" w:hAnsi="Century Gothic" w:cs="Arial"/>
          <w:color w:val="000000"/>
          <w:sz w:val="16"/>
          <w:szCs w:val="16"/>
          <w:lang w:val="es-ES" w:eastAsia="es-ES"/>
        </w:rPr>
        <w:t>En ningún caso la filiación política de los ciudadanos podrá determinar su nombramiento para un empleo de carrera, su ascenso o remoción.”</w:t>
      </w:r>
    </w:p>
    <w:p w:rsidR="00933E5C" w:rsidRPr="00C01824" w:rsidRDefault="00933E5C">
      <w:pPr>
        <w:pStyle w:val="Textonotapie"/>
        <w:rPr>
          <w:rFonts w:ascii="Century Gothic" w:hAnsi="Century Gothic"/>
          <w:sz w:val="16"/>
          <w:szCs w:val="16"/>
        </w:rPr>
      </w:pPr>
    </w:p>
  </w:footnote>
  <w:footnote w:id="2">
    <w:p w:rsidR="00933E5C" w:rsidRPr="00C01824" w:rsidRDefault="00933E5C" w:rsidP="00685F45">
      <w:pPr>
        <w:spacing w:after="0"/>
        <w:jc w:val="both"/>
        <w:rPr>
          <w:rFonts w:ascii="Century Gothic" w:hAnsi="Century Gothic" w:cs="Arial"/>
          <w:color w:val="FF0000"/>
          <w:sz w:val="16"/>
          <w:szCs w:val="16"/>
        </w:rPr>
      </w:pPr>
      <w:r w:rsidRPr="00C01824">
        <w:rPr>
          <w:rStyle w:val="Refdenotaalpie"/>
          <w:rFonts w:ascii="Century Gothic" w:hAnsi="Century Gothic"/>
          <w:sz w:val="16"/>
          <w:szCs w:val="16"/>
        </w:rPr>
        <w:footnoteRef/>
      </w:r>
      <w:r w:rsidRPr="00C01824">
        <w:rPr>
          <w:rFonts w:ascii="Century Gothic" w:hAnsi="Century Gothic"/>
          <w:sz w:val="16"/>
          <w:szCs w:val="16"/>
        </w:rPr>
        <w:t xml:space="preserve"> Control de constitucionalidad realizado por la Corte Constitucional en sentencia C – 584 de 1997. </w:t>
      </w:r>
    </w:p>
    <w:p w:rsidR="00933E5C" w:rsidRPr="00C01824" w:rsidRDefault="00933E5C" w:rsidP="00C20B0D">
      <w:pPr>
        <w:pStyle w:val="Textonotapie"/>
        <w:rPr>
          <w:rFonts w:ascii="Century Gothic" w:hAnsi="Century Gothic"/>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E5C" w:rsidRPr="002461C1" w:rsidRDefault="00933E5C" w:rsidP="00FA25A9">
    <w:pPr>
      <w:pStyle w:val="Encabezado"/>
      <w:rPr>
        <w:rFonts w:ascii="Century Gothic" w:hAnsi="Century Gothic"/>
        <w:sz w:val="20"/>
        <w:szCs w:val="20"/>
      </w:rPr>
    </w:pPr>
    <w:r w:rsidRPr="002461C1">
      <w:rPr>
        <w:rFonts w:ascii="Century Gothic" w:hAnsi="Century Gothic"/>
        <w:noProof/>
        <w:sz w:val="20"/>
        <w:szCs w:val="20"/>
      </w:rPr>
      <w:drawing>
        <wp:anchor distT="0" distB="0" distL="114300" distR="114300" simplePos="0" relativeHeight="251659264" behindDoc="0" locked="0" layoutInCell="1" allowOverlap="1" wp14:anchorId="43BDF7F4" wp14:editId="69DE24F4">
          <wp:simplePos x="0" y="0"/>
          <wp:positionH relativeFrom="column">
            <wp:posOffset>1489710</wp:posOffset>
          </wp:positionH>
          <wp:positionV relativeFrom="paragraph">
            <wp:posOffset>-128905</wp:posOffset>
          </wp:positionV>
          <wp:extent cx="2600325" cy="68580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685800"/>
                  </a:xfrm>
                  <a:prstGeom prst="rect">
                    <a:avLst/>
                  </a:prstGeom>
                  <a:noFill/>
                  <a:ln>
                    <a:noFill/>
                  </a:ln>
                </pic:spPr>
              </pic:pic>
            </a:graphicData>
          </a:graphic>
        </wp:anchor>
      </w:drawing>
    </w:r>
  </w:p>
  <w:p w:rsidR="00933E5C" w:rsidRDefault="00933E5C" w:rsidP="00FA25A9">
    <w:pPr>
      <w:pStyle w:val="Encabezado"/>
      <w:jc w:val="center"/>
      <w:rPr>
        <w:rFonts w:ascii="Century Gothic" w:hAnsi="Century Gothic"/>
        <w:b/>
        <w:bCs/>
        <w:sz w:val="20"/>
        <w:szCs w:val="20"/>
        <w:lang w:val="es-ES_tradnl"/>
      </w:rPr>
    </w:pPr>
  </w:p>
  <w:p w:rsidR="00933E5C" w:rsidRDefault="00933E5C" w:rsidP="00FA25A9">
    <w:pPr>
      <w:pStyle w:val="Encabezado"/>
      <w:jc w:val="center"/>
      <w:rPr>
        <w:rFonts w:ascii="Century Gothic" w:hAnsi="Century Gothic"/>
        <w:b/>
        <w:bCs/>
        <w:sz w:val="20"/>
        <w:szCs w:val="20"/>
        <w:lang w:val="es-ES_tradnl"/>
      </w:rPr>
    </w:pPr>
  </w:p>
  <w:p w:rsidR="00933E5C" w:rsidRDefault="00933E5C" w:rsidP="00FA25A9">
    <w:pPr>
      <w:pStyle w:val="Encabezado"/>
      <w:jc w:val="center"/>
      <w:rPr>
        <w:rFonts w:ascii="Century Gothic" w:hAnsi="Century Gothic"/>
        <w:b/>
        <w:bCs/>
        <w:sz w:val="20"/>
        <w:szCs w:val="20"/>
        <w:lang w:val="es-ES_tradnl"/>
      </w:rPr>
    </w:pPr>
  </w:p>
  <w:p w:rsidR="00933E5C" w:rsidRPr="002461C1" w:rsidRDefault="00933E5C" w:rsidP="00FA25A9">
    <w:pPr>
      <w:pStyle w:val="Encabezado"/>
      <w:jc w:val="center"/>
      <w:rPr>
        <w:rFonts w:ascii="Century Gothic" w:hAnsi="Century Gothic"/>
        <w:b/>
        <w:bCs/>
        <w:sz w:val="20"/>
        <w:szCs w:val="20"/>
        <w:lang w:val="es-ES_tradnl"/>
      </w:rPr>
    </w:pPr>
    <w:r w:rsidRPr="002461C1">
      <w:rPr>
        <w:rFonts w:ascii="Century Gothic" w:hAnsi="Century Gothic"/>
        <w:b/>
        <w:bCs/>
        <w:sz w:val="20"/>
        <w:szCs w:val="20"/>
        <w:lang w:val="es-ES_tradnl"/>
      </w:rPr>
      <w:t>LUIS FERNANDO DUQUE GARCIA</w:t>
    </w:r>
  </w:p>
  <w:p w:rsidR="00933E5C" w:rsidRPr="002461C1" w:rsidRDefault="00933E5C" w:rsidP="00FA25A9">
    <w:pPr>
      <w:pStyle w:val="Encabezado"/>
      <w:jc w:val="center"/>
      <w:rPr>
        <w:rFonts w:ascii="Century Gothic" w:hAnsi="Century Gothic"/>
        <w:sz w:val="20"/>
        <w:szCs w:val="20"/>
        <w:lang w:val="es-ES_tradnl"/>
      </w:rPr>
    </w:pPr>
    <w:r w:rsidRPr="002461C1">
      <w:rPr>
        <w:rFonts w:ascii="Century Gothic" w:hAnsi="Century Gothic"/>
        <w:sz w:val="20"/>
        <w:szCs w:val="20"/>
        <w:lang w:val="es-ES_tradnl"/>
      </w:rPr>
      <w:t>Senador de la República</w:t>
    </w:r>
  </w:p>
  <w:p w:rsidR="00933E5C" w:rsidRDefault="00933E5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4FBF"/>
    <w:multiLevelType w:val="hybridMultilevel"/>
    <w:tmpl w:val="9998CF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4D947BC7"/>
    <w:multiLevelType w:val="hybridMultilevel"/>
    <w:tmpl w:val="948C60AA"/>
    <w:lvl w:ilvl="0" w:tplc="1382A648">
      <w:start w:val="1"/>
      <w:numFmt w:val="bullet"/>
      <w:lvlText w:val="-"/>
      <w:lvlJc w:val="left"/>
      <w:pPr>
        <w:ind w:left="420" w:hanging="360"/>
      </w:pPr>
      <w:rPr>
        <w:rFonts w:ascii="Century Gothic" w:eastAsia="Times New Roman" w:hAnsi="Century Gothic" w:cs="Arial"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2">
    <w:nsid w:val="603648C8"/>
    <w:multiLevelType w:val="multilevel"/>
    <w:tmpl w:val="6554D05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733D29BD"/>
    <w:multiLevelType w:val="hybridMultilevel"/>
    <w:tmpl w:val="791A772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521"/>
    <w:rsid w:val="00004B05"/>
    <w:rsid w:val="000155AC"/>
    <w:rsid w:val="000733E9"/>
    <w:rsid w:val="000809CE"/>
    <w:rsid w:val="00082E1A"/>
    <w:rsid w:val="00087625"/>
    <w:rsid w:val="00095648"/>
    <w:rsid w:val="000A373A"/>
    <w:rsid w:val="000A4129"/>
    <w:rsid w:val="000D2659"/>
    <w:rsid w:val="000D3CDD"/>
    <w:rsid w:val="000E4CD2"/>
    <w:rsid w:val="001362EB"/>
    <w:rsid w:val="00143DD6"/>
    <w:rsid w:val="00145E62"/>
    <w:rsid w:val="00156CF6"/>
    <w:rsid w:val="00173062"/>
    <w:rsid w:val="001F5067"/>
    <w:rsid w:val="00233368"/>
    <w:rsid w:val="002356D6"/>
    <w:rsid w:val="002461C1"/>
    <w:rsid w:val="00251C34"/>
    <w:rsid w:val="002B2344"/>
    <w:rsid w:val="002B2F6E"/>
    <w:rsid w:val="002C5743"/>
    <w:rsid w:val="003401DF"/>
    <w:rsid w:val="00356ED1"/>
    <w:rsid w:val="003A46B1"/>
    <w:rsid w:val="003B180B"/>
    <w:rsid w:val="003B1CAC"/>
    <w:rsid w:val="003B7291"/>
    <w:rsid w:val="003C2AFE"/>
    <w:rsid w:val="003D24FC"/>
    <w:rsid w:val="003D7D71"/>
    <w:rsid w:val="003E23D7"/>
    <w:rsid w:val="00431074"/>
    <w:rsid w:val="00434AC0"/>
    <w:rsid w:val="00484AF3"/>
    <w:rsid w:val="004959A5"/>
    <w:rsid w:val="004C0517"/>
    <w:rsid w:val="004C64D1"/>
    <w:rsid w:val="004C6F65"/>
    <w:rsid w:val="00500CC4"/>
    <w:rsid w:val="0051325E"/>
    <w:rsid w:val="00515A4A"/>
    <w:rsid w:val="0055555F"/>
    <w:rsid w:val="005809B5"/>
    <w:rsid w:val="00592447"/>
    <w:rsid w:val="005B172F"/>
    <w:rsid w:val="005C42D8"/>
    <w:rsid w:val="005C43C0"/>
    <w:rsid w:val="005D41F4"/>
    <w:rsid w:val="00600806"/>
    <w:rsid w:val="006151B6"/>
    <w:rsid w:val="00635B3A"/>
    <w:rsid w:val="00662469"/>
    <w:rsid w:val="00667FBE"/>
    <w:rsid w:val="00671683"/>
    <w:rsid w:val="00685F45"/>
    <w:rsid w:val="00687979"/>
    <w:rsid w:val="006B29EE"/>
    <w:rsid w:val="006B38E8"/>
    <w:rsid w:val="006B511C"/>
    <w:rsid w:val="006B5552"/>
    <w:rsid w:val="006C1509"/>
    <w:rsid w:val="006C5D23"/>
    <w:rsid w:val="006D2734"/>
    <w:rsid w:val="00717FA7"/>
    <w:rsid w:val="00723E93"/>
    <w:rsid w:val="007450C5"/>
    <w:rsid w:val="00763A48"/>
    <w:rsid w:val="00774B40"/>
    <w:rsid w:val="0079431E"/>
    <w:rsid w:val="00794521"/>
    <w:rsid w:val="007A7E0D"/>
    <w:rsid w:val="007B06EA"/>
    <w:rsid w:val="007B7840"/>
    <w:rsid w:val="007C07A3"/>
    <w:rsid w:val="007C67B7"/>
    <w:rsid w:val="007D4CFE"/>
    <w:rsid w:val="007E0FC7"/>
    <w:rsid w:val="007E4617"/>
    <w:rsid w:val="00817578"/>
    <w:rsid w:val="008553E9"/>
    <w:rsid w:val="008B2EC4"/>
    <w:rsid w:val="008B5D0A"/>
    <w:rsid w:val="008D2C2F"/>
    <w:rsid w:val="008D7267"/>
    <w:rsid w:val="008E314C"/>
    <w:rsid w:val="008E4CED"/>
    <w:rsid w:val="009005E3"/>
    <w:rsid w:val="00930BE0"/>
    <w:rsid w:val="009329F1"/>
    <w:rsid w:val="00933E5C"/>
    <w:rsid w:val="00964D03"/>
    <w:rsid w:val="009B14C4"/>
    <w:rsid w:val="009D5FA8"/>
    <w:rsid w:val="00A025CC"/>
    <w:rsid w:val="00A62A94"/>
    <w:rsid w:val="00AA258D"/>
    <w:rsid w:val="00AB18BB"/>
    <w:rsid w:val="00AC1C5B"/>
    <w:rsid w:val="00B04159"/>
    <w:rsid w:val="00B3328B"/>
    <w:rsid w:val="00B3390B"/>
    <w:rsid w:val="00B75CA6"/>
    <w:rsid w:val="00B83ECC"/>
    <w:rsid w:val="00B853DF"/>
    <w:rsid w:val="00B93D80"/>
    <w:rsid w:val="00BB2157"/>
    <w:rsid w:val="00BE1D8C"/>
    <w:rsid w:val="00C00E63"/>
    <w:rsid w:val="00C01824"/>
    <w:rsid w:val="00C20B0D"/>
    <w:rsid w:val="00C74CB2"/>
    <w:rsid w:val="00CA2CBD"/>
    <w:rsid w:val="00CC74DF"/>
    <w:rsid w:val="00CD0621"/>
    <w:rsid w:val="00CD4B3F"/>
    <w:rsid w:val="00CD6FBF"/>
    <w:rsid w:val="00D030C4"/>
    <w:rsid w:val="00D05FC3"/>
    <w:rsid w:val="00D10554"/>
    <w:rsid w:val="00D118D4"/>
    <w:rsid w:val="00DA7752"/>
    <w:rsid w:val="00DB13D1"/>
    <w:rsid w:val="00DC0A77"/>
    <w:rsid w:val="00DD2DA5"/>
    <w:rsid w:val="00DF2D9E"/>
    <w:rsid w:val="00E05ED6"/>
    <w:rsid w:val="00E071F7"/>
    <w:rsid w:val="00E205F8"/>
    <w:rsid w:val="00E445FF"/>
    <w:rsid w:val="00E45A7E"/>
    <w:rsid w:val="00E45D39"/>
    <w:rsid w:val="00E60A2C"/>
    <w:rsid w:val="00E65098"/>
    <w:rsid w:val="00E7039B"/>
    <w:rsid w:val="00E84EA3"/>
    <w:rsid w:val="00EA6E89"/>
    <w:rsid w:val="00EB6554"/>
    <w:rsid w:val="00F02D25"/>
    <w:rsid w:val="00F03EC9"/>
    <w:rsid w:val="00F10817"/>
    <w:rsid w:val="00F34E7F"/>
    <w:rsid w:val="00F37B6A"/>
    <w:rsid w:val="00F651FC"/>
    <w:rsid w:val="00F66D50"/>
    <w:rsid w:val="00F70314"/>
    <w:rsid w:val="00F70DC2"/>
    <w:rsid w:val="00F746DE"/>
    <w:rsid w:val="00FA0166"/>
    <w:rsid w:val="00FA25A9"/>
    <w:rsid w:val="00FA71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71F7"/>
    <w:pPr>
      <w:ind w:left="720"/>
      <w:contextualSpacing/>
    </w:pPr>
  </w:style>
  <w:style w:type="character" w:styleId="Hipervnculo">
    <w:name w:val="Hyperlink"/>
    <w:basedOn w:val="Fuentedeprrafopredeter"/>
    <w:uiPriority w:val="99"/>
    <w:unhideWhenUsed/>
    <w:rsid w:val="003E23D7"/>
    <w:rPr>
      <w:color w:val="0000FF" w:themeColor="hyperlink"/>
      <w:u w:val="single"/>
    </w:rPr>
  </w:style>
  <w:style w:type="paragraph" w:styleId="NormalWeb">
    <w:name w:val="Normal (Web)"/>
    <w:basedOn w:val="Normal"/>
    <w:uiPriority w:val="99"/>
    <w:semiHidden/>
    <w:unhideWhenUsed/>
    <w:rsid w:val="00AB18B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687979"/>
  </w:style>
  <w:style w:type="character" w:styleId="Textoennegrita">
    <w:name w:val="Strong"/>
    <w:basedOn w:val="Fuentedeprrafopredeter"/>
    <w:uiPriority w:val="22"/>
    <w:qFormat/>
    <w:rsid w:val="00687979"/>
    <w:rPr>
      <w:b/>
      <w:bCs/>
    </w:rPr>
  </w:style>
  <w:style w:type="character" w:customStyle="1" w:styleId="letra14pt">
    <w:name w:val="letra14pt"/>
    <w:basedOn w:val="Fuentedeprrafopredeter"/>
    <w:rsid w:val="00BB2157"/>
  </w:style>
  <w:style w:type="character" w:customStyle="1" w:styleId="baj">
    <w:name w:val="b_aj"/>
    <w:basedOn w:val="Fuentedeprrafopredeter"/>
    <w:rsid w:val="00BB2157"/>
  </w:style>
  <w:style w:type="paragraph" w:customStyle="1" w:styleId="margenizq0punto5margender0punto5">
    <w:name w:val="margen_izq_0punto5_margen_der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margender0punto5">
    <w:name w:val="margen_der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iaj">
    <w:name w:val="i_aj"/>
    <w:basedOn w:val="Fuentedeprrafopredeter"/>
    <w:rsid w:val="00BB2157"/>
  </w:style>
  <w:style w:type="paragraph" w:customStyle="1" w:styleId="margenizq6punto0">
    <w:name w:val="margen_izq_6punto0"/>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entrado">
    <w:name w:val="centrado"/>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entradomargenizq0punto5">
    <w:name w:val="centrado_margen_izq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margenizq0punto5">
    <w:name w:val="margen_izq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Encabezado">
    <w:name w:val="header"/>
    <w:basedOn w:val="Normal"/>
    <w:link w:val="EncabezadoCar"/>
    <w:unhideWhenUsed/>
    <w:rsid w:val="00BB2157"/>
    <w:pPr>
      <w:tabs>
        <w:tab w:val="center" w:pos="4419"/>
        <w:tab w:val="right" w:pos="8838"/>
      </w:tabs>
      <w:spacing w:after="0" w:line="240" w:lineRule="auto"/>
    </w:pPr>
    <w:rPr>
      <w:rFonts w:ascii="Times New Roman" w:eastAsia="Times New Roman" w:hAnsi="Times New Roman" w:cs="Times New Roman"/>
      <w:sz w:val="24"/>
      <w:szCs w:val="24"/>
      <w:lang w:eastAsia="es-CO"/>
    </w:rPr>
  </w:style>
  <w:style w:type="character" w:customStyle="1" w:styleId="EncabezadoCar">
    <w:name w:val="Encabezado Car"/>
    <w:basedOn w:val="Fuentedeprrafopredeter"/>
    <w:link w:val="Encabezado"/>
    <w:rsid w:val="00BB2157"/>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BB215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B2157"/>
    <w:rPr>
      <w:rFonts w:ascii="Tahoma" w:hAnsi="Tahoma" w:cs="Tahoma"/>
      <w:sz w:val="16"/>
      <w:szCs w:val="16"/>
    </w:rPr>
  </w:style>
  <w:style w:type="paragraph" w:styleId="Piedepgina">
    <w:name w:val="footer"/>
    <w:basedOn w:val="Normal"/>
    <w:link w:val="PiedepginaCar"/>
    <w:unhideWhenUsed/>
    <w:rsid w:val="00E45A7E"/>
    <w:pPr>
      <w:tabs>
        <w:tab w:val="center" w:pos="4252"/>
        <w:tab w:val="right" w:pos="8504"/>
      </w:tabs>
      <w:spacing w:after="0" w:line="240" w:lineRule="auto"/>
    </w:pPr>
  </w:style>
  <w:style w:type="character" w:customStyle="1" w:styleId="PiedepginaCar">
    <w:name w:val="Pie de página Car"/>
    <w:basedOn w:val="Fuentedeprrafopredeter"/>
    <w:link w:val="Piedepgina"/>
    <w:rsid w:val="00E45A7E"/>
  </w:style>
  <w:style w:type="paragraph" w:styleId="Textonotapie">
    <w:name w:val="footnote text"/>
    <w:basedOn w:val="Normal"/>
    <w:link w:val="TextonotapieCar"/>
    <w:uiPriority w:val="99"/>
    <w:semiHidden/>
    <w:unhideWhenUsed/>
    <w:rsid w:val="00F70DC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70DC2"/>
    <w:rPr>
      <w:sz w:val="20"/>
      <w:szCs w:val="20"/>
    </w:rPr>
  </w:style>
  <w:style w:type="character" w:styleId="Refdenotaalpie">
    <w:name w:val="footnote reference"/>
    <w:basedOn w:val="Fuentedeprrafopredeter"/>
    <w:uiPriority w:val="99"/>
    <w:semiHidden/>
    <w:unhideWhenUsed/>
    <w:rsid w:val="00F70DC2"/>
    <w:rPr>
      <w:vertAlign w:val="superscript"/>
    </w:rPr>
  </w:style>
  <w:style w:type="table" w:styleId="Tablaconcuadrcula">
    <w:name w:val="Table Grid"/>
    <w:basedOn w:val="Tablanormal"/>
    <w:uiPriority w:val="59"/>
    <w:rsid w:val="00763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71F7"/>
    <w:pPr>
      <w:ind w:left="720"/>
      <w:contextualSpacing/>
    </w:pPr>
  </w:style>
  <w:style w:type="character" w:styleId="Hipervnculo">
    <w:name w:val="Hyperlink"/>
    <w:basedOn w:val="Fuentedeprrafopredeter"/>
    <w:uiPriority w:val="99"/>
    <w:unhideWhenUsed/>
    <w:rsid w:val="003E23D7"/>
    <w:rPr>
      <w:color w:val="0000FF" w:themeColor="hyperlink"/>
      <w:u w:val="single"/>
    </w:rPr>
  </w:style>
  <w:style w:type="paragraph" w:styleId="NormalWeb">
    <w:name w:val="Normal (Web)"/>
    <w:basedOn w:val="Normal"/>
    <w:uiPriority w:val="99"/>
    <w:semiHidden/>
    <w:unhideWhenUsed/>
    <w:rsid w:val="00AB18B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687979"/>
  </w:style>
  <w:style w:type="character" w:styleId="Textoennegrita">
    <w:name w:val="Strong"/>
    <w:basedOn w:val="Fuentedeprrafopredeter"/>
    <w:uiPriority w:val="22"/>
    <w:qFormat/>
    <w:rsid w:val="00687979"/>
    <w:rPr>
      <w:b/>
      <w:bCs/>
    </w:rPr>
  </w:style>
  <w:style w:type="character" w:customStyle="1" w:styleId="letra14pt">
    <w:name w:val="letra14pt"/>
    <w:basedOn w:val="Fuentedeprrafopredeter"/>
    <w:rsid w:val="00BB2157"/>
  </w:style>
  <w:style w:type="character" w:customStyle="1" w:styleId="baj">
    <w:name w:val="b_aj"/>
    <w:basedOn w:val="Fuentedeprrafopredeter"/>
    <w:rsid w:val="00BB2157"/>
  </w:style>
  <w:style w:type="paragraph" w:customStyle="1" w:styleId="margenizq0punto5margender0punto5">
    <w:name w:val="margen_izq_0punto5_margen_der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margender0punto5">
    <w:name w:val="margen_der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iaj">
    <w:name w:val="i_aj"/>
    <w:basedOn w:val="Fuentedeprrafopredeter"/>
    <w:rsid w:val="00BB2157"/>
  </w:style>
  <w:style w:type="paragraph" w:customStyle="1" w:styleId="margenizq6punto0">
    <w:name w:val="margen_izq_6punto0"/>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entrado">
    <w:name w:val="centrado"/>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entradomargenizq0punto5">
    <w:name w:val="centrado_margen_izq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margenizq0punto5">
    <w:name w:val="margen_izq_0punto5"/>
    <w:basedOn w:val="Normal"/>
    <w:rsid w:val="00BB215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Encabezado">
    <w:name w:val="header"/>
    <w:basedOn w:val="Normal"/>
    <w:link w:val="EncabezadoCar"/>
    <w:unhideWhenUsed/>
    <w:rsid w:val="00BB2157"/>
    <w:pPr>
      <w:tabs>
        <w:tab w:val="center" w:pos="4419"/>
        <w:tab w:val="right" w:pos="8838"/>
      </w:tabs>
      <w:spacing w:after="0" w:line="240" w:lineRule="auto"/>
    </w:pPr>
    <w:rPr>
      <w:rFonts w:ascii="Times New Roman" w:eastAsia="Times New Roman" w:hAnsi="Times New Roman" w:cs="Times New Roman"/>
      <w:sz w:val="24"/>
      <w:szCs w:val="24"/>
      <w:lang w:eastAsia="es-CO"/>
    </w:rPr>
  </w:style>
  <w:style w:type="character" w:customStyle="1" w:styleId="EncabezadoCar">
    <w:name w:val="Encabezado Car"/>
    <w:basedOn w:val="Fuentedeprrafopredeter"/>
    <w:link w:val="Encabezado"/>
    <w:rsid w:val="00BB2157"/>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BB215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B2157"/>
    <w:rPr>
      <w:rFonts w:ascii="Tahoma" w:hAnsi="Tahoma" w:cs="Tahoma"/>
      <w:sz w:val="16"/>
      <w:szCs w:val="16"/>
    </w:rPr>
  </w:style>
  <w:style w:type="paragraph" w:styleId="Piedepgina">
    <w:name w:val="footer"/>
    <w:basedOn w:val="Normal"/>
    <w:link w:val="PiedepginaCar"/>
    <w:unhideWhenUsed/>
    <w:rsid w:val="00E45A7E"/>
    <w:pPr>
      <w:tabs>
        <w:tab w:val="center" w:pos="4252"/>
        <w:tab w:val="right" w:pos="8504"/>
      </w:tabs>
      <w:spacing w:after="0" w:line="240" w:lineRule="auto"/>
    </w:pPr>
  </w:style>
  <w:style w:type="character" w:customStyle="1" w:styleId="PiedepginaCar">
    <w:name w:val="Pie de página Car"/>
    <w:basedOn w:val="Fuentedeprrafopredeter"/>
    <w:link w:val="Piedepgina"/>
    <w:rsid w:val="00E45A7E"/>
  </w:style>
  <w:style w:type="paragraph" w:styleId="Textonotapie">
    <w:name w:val="footnote text"/>
    <w:basedOn w:val="Normal"/>
    <w:link w:val="TextonotapieCar"/>
    <w:uiPriority w:val="99"/>
    <w:semiHidden/>
    <w:unhideWhenUsed/>
    <w:rsid w:val="00F70DC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70DC2"/>
    <w:rPr>
      <w:sz w:val="20"/>
      <w:szCs w:val="20"/>
    </w:rPr>
  </w:style>
  <w:style w:type="character" w:styleId="Refdenotaalpie">
    <w:name w:val="footnote reference"/>
    <w:basedOn w:val="Fuentedeprrafopredeter"/>
    <w:uiPriority w:val="99"/>
    <w:semiHidden/>
    <w:unhideWhenUsed/>
    <w:rsid w:val="00F70DC2"/>
    <w:rPr>
      <w:vertAlign w:val="superscript"/>
    </w:rPr>
  </w:style>
  <w:style w:type="table" w:styleId="Tablaconcuadrcula">
    <w:name w:val="Table Grid"/>
    <w:basedOn w:val="Tablanormal"/>
    <w:uiPriority w:val="59"/>
    <w:rsid w:val="00763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86150">
      <w:bodyDiv w:val="1"/>
      <w:marLeft w:val="0"/>
      <w:marRight w:val="0"/>
      <w:marTop w:val="0"/>
      <w:marBottom w:val="0"/>
      <w:divBdr>
        <w:top w:val="none" w:sz="0" w:space="0" w:color="auto"/>
        <w:left w:val="none" w:sz="0" w:space="0" w:color="auto"/>
        <w:bottom w:val="none" w:sz="0" w:space="0" w:color="auto"/>
        <w:right w:val="none" w:sz="0" w:space="0" w:color="auto"/>
      </w:divBdr>
    </w:div>
    <w:div w:id="545915407">
      <w:bodyDiv w:val="1"/>
      <w:marLeft w:val="0"/>
      <w:marRight w:val="0"/>
      <w:marTop w:val="0"/>
      <w:marBottom w:val="0"/>
      <w:divBdr>
        <w:top w:val="none" w:sz="0" w:space="0" w:color="auto"/>
        <w:left w:val="none" w:sz="0" w:space="0" w:color="auto"/>
        <w:bottom w:val="none" w:sz="0" w:space="0" w:color="auto"/>
        <w:right w:val="none" w:sz="0" w:space="0" w:color="auto"/>
      </w:divBdr>
    </w:div>
    <w:div w:id="690958756">
      <w:bodyDiv w:val="1"/>
      <w:marLeft w:val="0"/>
      <w:marRight w:val="0"/>
      <w:marTop w:val="0"/>
      <w:marBottom w:val="0"/>
      <w:divBdr>
        <w:top w:val="none" w:sz="0" w:space="0" w:color="auto"/>
        <w:left w:val="none" w:sz="0" w:space="0" w:color="auto"/>
        <w:bottom w:val="none" w:sz="0" w:space="0" w:color="auto"/>
        <w:right w:val="none" w:sz="0" w:space="0" w:color="auto"/>
      </w:divBdr>
    </w:div>
    <w:div w:id="1004086897">
      <w:bodyDiv w:val="1"/>
      <w:marLeft w:val="0"/>
      <w:marRight w:val="0"/>
      <w:marTop w:val="0"/>
      <w:marBottom w:val="0"/>
      <w:divBdr>
        <w:top w:val="none" w:sz="0" w:space="0" w:color="auto"/>
        <w:left w:val="none" w:sz="0" w:space="0" w:color="auto"/>
        <w:bottom w:val="none" w:sz="0" w:space="0" w:color="auto"/>
        <w:right w:val="none" w:sz="0" w:space="0" w:color="auto"/>
      </w:divBdr>
    </w:div>
    <w:div w:id="1902518079">
      <w:bodyDiv w:val="1"/>
      <w:marLeft w:val="0"/>
      <w:marRight w:val="0"/>
      <w:marTop w:val="0"/>
      <w:marBottom w:val="0"/>
      <w:divBdr>
        <w:top w:val="none" w:sz="0" w:space="0" w:color="auto"/>
        <w:left w:val="none" w:sz="0" w:space="0" w:color="auto"/>
        <w:bottom w:val="none" w:sz="0" w:space="0" w:color="auto"/>
        <w:right w:val="none" w:sz="0" w:space="0" w:color="auto"/>
      </w:divBdr>
    </w:div>
    <w:div w:id="2090273796">
      <w:bodyDiv w:val="1"/>
      <w:marLeft w:val="0"/>
      <w:marRight w:val="0"/>
      <w:marTop w:val="0"/>
      <w:marBottom w:val="0"/>
      <w:divBdr>
        <w:top w:val="none" w:sz="0" w:space="0" w:color="auto"/>
        <w:left w:val="none" w:sz="0" w:space="0" w:color="auto"/>
        <w:bottom w:val="none" w:sz="0" w:space="0" w:color="auto"/>
        <w:right w:val="none" w:sz="0" w:space="0" w:color="auto"/>
      </w:divBdr>
    </w:div>
    <w:div w:id="20920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3F6BA-91FF-4C06-9B2D-0BFE0C5E9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1978</Words>
  <Characters>10883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UTP</dc:creator>
  <cp:lastModifiedBy>admin</cp:lastModifiedBy>
  <cp:revision>2</cp:revision>
  <cp:lastPrinted>2014-09-23T13:41:00Z</cp:lastPrinted>
  <dcterms:created xsi:type="dcterms:W3CDTF">2014-10-08T15:06:00Z</dcterms:created>
  <dcterms:modified xsi:type="dcterms:W3CDTF">2014-10-08T15:06:00Z</dcterms:modified>
</cp:coreProperties>
</file>