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B2E" w:rsidRPr="00E43453" w:rsidRDefault="00FA64AA" w:rsidP="00616D1D">
      <w:pPr>
        <w:jc w:val="center"/>
        <w:rPr>
          <w:b/>
          <w:szCs w:val="22"/>
        </w:rPr>
      </w:pPr>
      <w:r w:rsidRPr="00E43453">
        <w:rPr>
          <w:b/>
          <w:szCs w:val="22"/>
        </w:rPr>
        <w:t>PROYECTO DE LEY N°</w:t>
      </w:r>
      <w:r w:rsidR="00365892">
        <w:rPr>
          <w:b/>
          <w:szCs w:val="22"/>
        </w:rPr>
        <w:t xml:space="preserve"> 023</w:t>
      </w:r>
      <w:bookmarkStart w:id="0" w:name="_GoBack"/>
      <w:bookmarkEnd w:id="0"/>
      <w:r w:rsidRPr="00E43453">
        <w:rPr>
          <w:b/>
          <w:szCs w:val="22"/>
        </w:rPr>
        <w:t>DE 2014 SENADO</w:t>
      </w:r>
    </w:p>
    <w:p w:rsidR="00616D1D" w:rsidRPr="00E43453" w:rsidRDefault="00365892" w:rsidP="00616D1D">
      <w:pPr>
        <w:jc w:val="center"/>
        <w:rPr>
          <w:b/>
          <w:szCs w:val="22"/>
        </w:rPr>
      </w:pPr>
    </w:p>
    <w:p w:rsidR="00616D1D" w:rsidRPr="00E43453" w:rsidRDefault="00FA64AA" w:rsidP="00616D1D">
      <w:pPr>
        <w:jc w:val="center"/>
        <w:rPr>
          <w:b/>
          <w:szCs w:val="22"/>
        </w:rPr>
      </w:pPr>
      <w:r w:rsidRPr="00E43453">
        <w:rPr>
          <w:b/>
          <w:szCs w:val="22"/>
        </w:rPr>
        <w:t>“Por medio de la cual se crea la prima de vivienda con el fin de mejorar las condiciones socioeconómicas de los trabajadores”</w:t>
      </w:r>
    </w:p>
    <w:p w:rsidR="004C5B2E" w:rsidRPr="00E43453" w:rsidRDefault="00365892" w:rsidP="00616D1D">
      <w:pPr>
        <w:rPr>
          <w:szCs w:val="22"/>
        </w:rPr>
      </w:pPr>
    </w:p>
    <w:p w:rsidR="00616D1D" w:rsidRPr="00E43453" w:rsidRDefault="00FA64AA" w:rsidP="00616D1D">
      <w:pPr>
        <w:autoSpaceDE w:val="0"/>
        <w:autoSpaceDN w:val="0"/>
        <w:adjustRightInd w:val="0"/>
        <w:jc w:val="center"/>
        <w:rPr>
          <w:b/>
          <w:szCs w:val="22"/>
        </w:rPr>
      </w:pPr>
      <w:r w:rsidRPr="00E43453">
        <w:rPr>
          <w:b/>
          <w:szCs w:val="22"/>
        </w:rPr>
        <w:t xml:space="preserve">EXPOSICIÓN DE MOTIVOS </w:t>
      </w:r>
    </w:p>
    <w:p w:rsidR="00616D1D" w:rsidRDefault="00365892" w:rsidP="00616D1D">
      <w:pPr>
        <w:jc w:val="both"/>
        <w:rPr>
          <w:szCs w:val="22"/>
        </w:rPr>
      </w:pPr>
    </w:p>
    <w:p w:rsidR="00EC5D25" w:rsidRPr="00EC5D25" w:rsidRDefault="00FA64AA" w:rsidP="00EC5D25">
      <w:pPr>
        <w:autoSpaceDE w:val="0"/>
        <w:autoSpaceDN w:val="0"/>
        <w:adjustRightInd w:val="0"/>
        <w:rPr>
          <w:b/>
          <w:szCs w:val="22"/>
        </w:rPr>
      </w:pPr>
      <w:r w:rsidRPr="00EC5D25">
        <w:rPr>
          <w:b/>
          <w:szCs w:val="22"/>
        </w:rPr>
        <w:t>CONTEXTO LATINOAMERICANO</w:t>
      </w:r>
    </w:p>
    <w:p w:rsidR="00EC5D25" w:rsidRPr="00E43453" w:rsidRDefault="00365892" w:rsidP="00616D1D">
      <w:pPr>
        <w:jc w:val="both"/>
        <w:rPr>
          <w:szCs w:val="22"/>
        </w:rPr>
      </w:pPr>
    </w:p>
    <w:p w:rsidR="00616D1D" w:rsidRPr="00E43453" w:rsidRDefault="00FA64AA" w:rsidP="00616D1D">
      <w:pPr>
        <w:jc w:val="both"/>
        <w:rPr>
          <w:szCs w:val="22"/>
        </w:rPr>
      </w:pPr>
      <w:r w:rsidRPr="00E43453">
        <w:rPr>
          <w:szCs w:val="22"/>
        </w:rPr>
        <w:t>La situación de la vivienda en América Latina es un problema ineludible. Según cálculos del BID</w:t>
      </w:r>
      <w:r w:rsidRPr="00E43453">
        <w:rPr>
          <w:rStyle w:val="Refdenotaalpie"/>
          <w:szCs w:val="22"/>
        </w:rPr>
        <w:footnoteReference w:id="1"/>
      </w:r>
      <w:r w:rsidRPr="00E43453">
        <w:rPr>
          <w:szCs w:val="22"/>
        </w:rPr>
        <w:t xml:space="preserve"> el 37% de los hogares de la región, 54 millones de familias, sufrían algún tipo de carencia habitacional.</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 xml:space="preserve">Si bien muchos gobiernos vienen implementando planes habitacionales que en buena medida han ayudado a combatir el déficit de vivienda, el BID calcula </w:t>
      </w:r>
      <w:r>
        <w:rPr>
          <w:szCs w:val="22"/>
        </w:rPr>
        <w:t xml:space="preserve">que </w:t>
      </w:r>
      <w:r w:rsidRPr="00E43453">
        <w:rPr>
          <w:szCs w:val="22"/>
        </w:rPr>
        <w:t>para 2015</w:t>
      </w:r>
      <w:r>
        <w:rPr>
          <w:szCs w:val="22"/>
        </w:rPr>
        <w:t xml:space="preserve"> </w:t>
      </w:r>
      <w:r w:rsidRPr="00E43453">
        <w:rPr>
          <w:szCs w:val="22"/>
        </w:rPr>
        <w:t>el déficit será del 36%, es decir, un punto porcentual menos, pero cinco millones de hogares más que en 2009.</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Las razones a futuro son claras, las sociedades modernas van en una constante evolución, que va ligada también al comportamiento de las viviendas. Causas como la reducción del tamaño de los hogares, el aumento de la tasa de divorcio y separación y el incremento en la esper</w:t>
      </w:r>
      <w:r>
        <w:rPr>
          <w:szCs w:val="22"/>
        </w:rPr>
        <w:t>anza de vida, son algunas razone</w:t>
      </w:r>
      <w:r w:rsidRPr="00E43453">
        <w:rPr>
          <w:szCs w:val="22"/>
        </w:rPr>
        <w:t xml:space="preserve">s que llevan a incrementar la demanda de vivienda a futuro. </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Pese a la disminución de la tasa de crecimiento demográfico, si no se construye una política pública amplia e incluyente hacia los sectores más vulnerables y de mayores necesidades, no se podrá garantizar el cierre de la brecha habitacional.</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Para empezar</w:t>
      </w:r>
      <w:r>
        <w:rPr>
          <w:szCs w:val="22"/>
        </w:rPr>
        <w:t>,</w:t>
      </w:r>
      <w:r w:rsidRPr="00E43453">
        <w:rPr>
          <w:szCs w:val="22"/>
        </w:rPr>
        <w:t xml:space="preserve"> se debe entender que el déficit se define como cualitativo y cuantitativo. Para el primero, el BID revela que el 12% de los hogares presenta insuficiencias en cuanto a los materiales, el 6% tiene problemas de hacinamiento, el 21% presenta deficiencias en infraestructura, y el 11% acusa carencias en materia de seguridad de tenencia. Por su parte, los déficits cuantitativos evidencian que nueve millones de hogares carecen de servicio habitacional o que sus viviendas son inadecuadas y/o irreparables.</w:t>
      </w:r>
    </w:p>
    <w:p w:rsidR="00616D1D" w:rsidRPr="00E43453" w:rsidRDefault="00365892" w:rsidP="00616D1D">
      <w:pPr>
        <w:jc w:val="both"/>
        <w:rPr>
          <w:szCs w:val="22"/>
        </w:rPr>
      </w:pPr>
    </w:p>
    <w:p w:rsidR="00616D1D" w:rsidRPr="00E43453" w:rsidRDefault="00FA64AA" w:rsidP="00616D1D">
      <w:pPr>
        <w:autoSpaceDE w:val="0"/>
        <w:autoSpaceDN w:val="0"/>
        <w:adjustRightInd w:val="0"/>
        <w:jc w:val="both"/>
        <w:rPr>
          <w:szCs w:val="22"/>
        </w:rPr>
      </w:pPr>
      <w:r w:rsidRPr="00E43453">
        <w:rPr>
          <w:szCs w:val="22"/>
        </w:rPr>
        <w:t>Al hacer la comparación entre áreas rurales y urbanas, y entre segmentos de ingreso, la brecha social que se vislumbra es mucho mayor. Por ejemplo, el déficit total urbano es del 32%, mientras que el rural asciende al 60%. En términos de ingreso, el déficit total para la región en el quintil urbano más pobre es del 52% versus el 16% para el quintil de mayor ingreso.</w:t>
      </w:r>
    </w:p>
    <w:p w:rsidR="00F01EC4" w:rsidRDefault="00365892" w:rsidP="00CA20DA">
      <w:pPr>
        <w:jc w:val="center"/>
        <w:rPr>
          <w:b/>
          <w:szCs w:val="22"/>
        </w:rPr>
      </w:pPr>
    </w:p>
    <w:p w:rsidR="00F01EC4" w:rsidRDefault="00365892" w:rsidP="00CA20DA">
      <w:pPr>
        <w:jc w:val="center"/>
        <w:rPr>
          <w:b/>
          <w:szCs w:val="22"/>
        </w:rPr>
      </w:pPr>
    </w:p>
    <w:p w:rsidR="00F01EC4" w:rsidRDefault="00365892" w:rsidP="00CA20DA">
      <w:pPr>
        <w:jc w:val="center"/>
        <w:rPr>
          <w:b/>
          <w:szCs w:val="22"/>
        </w:rPr>
      </w:pPr>
    </w:p>
    <w:p w:rsidR="00F01EC4" w:rsidRDefault="00365892" w:rsidP="00CA20DA">
      <w:pPr>
        <w:jc w:val="center"/>
        <w:rPr>
          <w:b/>
          <w:szCs w:val="22"/>
        </w:rPr>
      </w:pPr>
    </w:p>
    <w:p w:rsidR="00F01EC4" w:rsidRDefault="00365892" w:rsidP="00CA20DA">
      <w:pPr>
        <w:jc w:val="center"/>
        <w:rPr>
          <w:b/>
          <w:szCs w:val="22"/>
        </w:rPr>
      </w:pPr>
    </w:p>
    <w:p w:rsidR="00F01EC4" w:rsidRDefault="00365892" w:rsidP="00CA20DA">
      <w:pPr>
        <w:jc w:val="center"/>
        <w:rPr>
          <w:b/>
          <w:szCs w:val="22"/>
        </w:rPr>
      </w:pPr>
    </w:p>
    <w:p w:rsidR="00F01EC4" w:rsidRDefault="00365892" w:rsidP="00CA20DA">
      <w:pPr>
        <w:jc w:val="center"/>
        <w:rPr>
          <w:b/>
          <w:szCs w:val="22"/>
        </w:rPr>
      </w:pPr>
    </w:p>
    <w:p w:rsidR="00F01EC4" w:rsidRDefault="00365892" w:rsidP="00CA20DA">
      <w:pPr>
        <w:jc w:val="center"/>
        <w:rPr>
          <w:b/>
          <w:szCs w:val="22"/>
        </w:rPr>
      </w:pPr>
    </w:p>
    <w:p w:rsidR="00616D1D" w:rsidRPr="00CA20DA" w:rsidRDefault="00FA64AA" w:rsidP="00CA20DA">
      <w:pPr>
        <w:jc w:val="center"/>
        <w:rPr>
          <w:b/>
          <w:szCs w:val="22"/>
        </w:rPr>
      </w:pPr>
      <w:r w:rsidRPr="00CA20DA">
        <w:rPr>
          <w:b/>
          <w:szCs w:val="22"/>
        </w:rPr>
        <w:t>GRAFICO 1. TASA DE PROPIEDAD EN AMÉRICA LATINA</w:t>
      </w:r>
    </w:p>
    <w:p w:rsidR="00616D1D" w:rsidRPr="00E43453" w:rsidRDefault="00FA64AA" w:rsidP="00616D1D">
      <w:pPr>
        <w:autoSpaceDE w:val="0"/>
        <w:autoSpaceDN w:val="0"/>
        <w:adjustRightInd w:val="0"/>
        <w:jc w:val="center"/>
        <w:rPr>
          <w:szCs w:val="22"/>
        </w:rPr>
      </w:pPr>
      <w:r w:rsidRPr="00E43453">
        <w:rPr>
          <w:noProof/>
          <w:szCs w:val="22"/>
          <w:lang w:eastAsia="es-CO"/>
        </w:rPr>
        <w:drawing>
          <wp:inline distT="0" distB="0" distL="0" distR="0">
            <wp:extent cx="3391970" cy="3060280"/>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6535" t="8478" r="23794" b="8063"/>
                    <a:stretch>
                      <a:fillRect/>
                    </a:stretch>
                  </pic:blipFill>
                  <pic:spPr bwMode="auto">
                    <a:xfrm>
                      <a:off x="0" y="0"/>
                      <a:ext cx="3394245" cy="3062332"/>
                    </a:xfrm>
                    <a:prstGeom prst="rect">
                      <a:avLst/>
                    </a:prstGeom>
                    <a:noFill/>
                    <a:ln w="9525">
                      <a:noFill/>
                      <a:miter lim="800000"/>
                      <a:headEnd/>
                      <a:tailEnd/>
                    </a:ln>
                  </pic:spPr>
                </pic:pic>
              </a:graphicData>
            </a:graphic>
          </wp:inline>
        </w:drawing>
      </w:r>
    </w:p>
    <w:p w:rsidR="00616D1D" w:rsidRPr="00E43453" w:rsidRDefault="00365892" w:rsidP="00DE0156">
      <w:pPr>
        <w:autoSpaceDE w:val="0"/>
        <w:autoSpaceDN w:val="0"/>
        <w:adjustRightInd w:val="0"/>
        <w:jc w:val="center"/>
        <w:rPr>
          <w:szCs w:val="22"/>
        </w:rPr>
      </w:pPr>
    </w:p>
    <w:p w:rsidR="00616D1D" w:rsidRPr="00CA20DA" w:rsidRDefault="00FA64AA" w:rsidP="00CA20DA">
      <w:pPr>
        <w:jc w:val="center"/>
        <w:rPr>
          <w:b/>
          <w:szCs w:val="22"/>
        </w:rPr>
      </w:pPr>
      <w:r w:rsidRPr="00CA20DA">
        <w:rPr>
          <w:b/>
          <w:szCs w:val="22"/>
        </w:rPr>
        <w:t>GRAFICO 2. TASAS DE ALQUILER AMÉRICA LATINA</w:t>
      </w:r>
    </w:p>
    <w:p w:rsidR="00616D1D" w:rsidRPr="00E43453" w:rsidRDefault="00FA64AA" w:rsidP="00DE0156">
      <w:pPr>
        <w:autoSpaceDE w:val="0"/>
        <w:autoSpaceDN w:val="0"/>
        <w:adjustRightInd w:val="0"/>
        <w:jc w:val="center"/>
        <w:rPr>
          <w:szCs w:val="22"/>
        </w:rPr>
      </w:pPr>
      <w:r w:rsidRPr="00E43453">
        <w:rPr>
          <w:noProof/>
          <w:szCs w:val="22"/>
          <w:lang w:eastAsia="es-CO"/>
        </w:rPr>
        <w:drawing>
          <wp:inline distT="0" distB="0" distL="0" distR="0">
            <wp:extent cx="4491305" cy="2588209"/>
            <wp:effectExtent l="19050" t="0" r="4495" b="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494265" cy="2589915"/>
                    </a:xfrm>
                    <a:prstGeom prst="rect">
                      <a:avLst/>
                    </a:prstGeom>
                    <a:noFill/>
                    <a:ln w="9525">
                      <a:noFill/>
                      <a:miter lim="800000"/>
                      <a:headEnd/>
                      <a:tailEnd/>
                    </a:ln>
                  </pic:spPr>
                </pic:pic>
              </a:graphicData>
            </a:graphic>
          </wp:inline>
        </w:drawing>
      </w:r>
    </w:p>
    <w:p w:rsidR="00DE0156" w:rsidRPr="00EC5D25" w:rsidRDefault="00FA64AA" w:rsidP="00EC5D25">
      <w:pPr>
        <w:autoSpaceDE w:val="0"/>
        <w:autoSpaceDN w:val="0"/>
        <w:adjustRightInd w:val="0"/>
        <w:jc w:val="center"/>
        <w:rPr>
          <w:b/>
          <w:sz w:val="18"/>
          <w:szCs w:val="22"/>
        </w:rPr>
      </w:pPr>
      <w:r w:rsidRPr="00EC5D25">
        <w:rPr>
          <w:b/>
          <w:sz w:val="18"/>
          <w:szCs w:val="22"/>
        </w:rPr>
        <w:t>Fuente: BID 2014</w:t>
      </w:r>
    </w:p>
    <w:p w:rsidR="00EC5D25" w:rsidRPr="00EC5D25" w:rsidRDefault="00365892" w:rsidP="00EC5D25">
      <w:pPr>
        <w:autoSpaceDE w:val="0"/>
        <w:autoSpaceDN w:val="0"/>
        <w:adjustRightInd w:val="0"/>
        <w:jc w:val="center"/>
        <w:rPr>
          <w:sz w:val="18"/>
          <w:szCs w:val="22"/>
        </w:rPr>
      </w:pPr>
    </w:p>
    <w:p w:rsidR="00616D1D" w:rsidRPr="00E43453" w:rsidRDefault="00FA64AA" w:rsidP="00616D1D">
      <w:pPr>
        <w:autoSpaceDE w:val="0"/>
        <w:autoSpaceDN w:val="0"/>
        <w:adjustRightInd w:val="0"/>
        <w:jc w:val="both"/>
        <w:rPr>
          <w:szCs w:val="22"/>
        </w:rPr>
      </w:pPr>
      <w:r>
        <w:rPr>
          <w:szCs w:val="22"/>
        </w:rPr>
        <w:t>Los anteriores gráfico</w:t>
      </w:r>
      <w:r w:rsidRPr="00E43453">
        <w:rPr>
          <w:szCs w:val="22"/>
        </w:rPr>
        <w:t>s evidencian situaciones como la colombiana donde la tasa de familias en alquiler está llegando al 40%, aproximadamente el doble del promedio, pasando de 1,2 millones de familias en 1985 a 2,8 millones en 2010. En cuanto a la tasa de propiedad, Colombia se encuentra en los últimos lugares comparando a los demás países latinoamericanos.</w:t>
      </w:r>
    </w:p>
    <w:p w:rsidR="00616D1D" w:rsidRPr="00E43453" w:rsidRDefault="00365892" w:rsidP="00616D1D">
      <w:pPr>
        <w:autoSpaceDE w:val="0"/>
        <w:autoSpaceDN w:val="0"/>
        <w:adjustRightInd w:val="0"/>
        <w:jc w:val="both"/>
        <w:rPr>
          <w:szCs w:val="22"/>
        </w:rPr>
      </w:pPr>
    </w:p>
    <w:p w:rsidR="00616D1D" w:rsidRPr="00E43453" w:rsidRDefault="00365892" w:rsidP="00616D1D">
      <w:pPr>
        <w:autoSpaceDE w:val="0"/>
        <w:autoSpaceDN w:val="0"/>
        <w:adjustRightInd w:val="0"/>
        <w:jc w:val="both"/>
        <w:rPr>
          <w:szCs w:val="22"/>
        </w:rPr>
      </w:pPr>
    </w:p>
    <w:p w:rsidR="00616D1D" w:rsidRPr="00E43453" w:rsidRDefault="00FA64AA" w:rsidP="00DE0156">
      <w:pPr>
        <w:autoSpaceDE w:val="0"/>
        <w:autoSpaceDN w:val="0"/>
        <w:adjustRightInd w:val="0"/>
        <w:rPr>
          <w:b/>
          <w:szCs w:val="22"/>
        </w:rPr>
      </w:pPr>
      <w:r w:rsidRPr="00E43453">
        <w:rPr>
          <w:b/>
          <w:szCs w:val="22"/>
        </w:rPr>
        <w:t>LAS DIFICULTADES DE ACCESO A LA VIVIENDA EN LA REGIÓN</w:t>
      </w:r>
    </w:p>
    <w:p w:rsidR="00616D1D" w:rsidRPr="00E43453" w:rsidRDefault="00365892" w:rsidP="00DE0156">
      <w:pPr>
        <w:rPr>
          <w:szCs w:val="22"/>
        </w:rPr>
      </w:pPr>
    </w:p>
    <w:p w:rsidR="00616D1D" w:rsidRPr="00E43453" w:rsidRDefault="00FA64AA" w:rsidP="00616D1D">
      <w:pPr>
        <w:jc w:val="both"/>
        <w:rPr>
          <w:szCs w:val="22"/>
        </w:rPr>
      </w:pPr>
      <w:r w:rsidRPr="00E43453">
        <w:rPr>
          <w:szCs w:val="22"/>
        </w:rPr>
        <w:t>Los quintiles más bajos de ingresos tienen ciertas particularidades al momento de acceder a la vivienda. Como bien lo expresa el BID</w:t>
      </w:r>
      <w:r w:rsidRPr="00E43453">
        <w:rPr>
          <w:rStyle w:val="Refdenotaalpie"/>
          <w:szCs w:val="22"/>
        </w:rPr>
        <w:footnoteReference w:id="2"/>
      </w:r>
      <w:r w:rsidRPr="00E43453">
        <w:rPr>
          <w:szCs w:val="22"/>
        </w:rPr>
        <w:t xml:space="preserve"> lo primero es el terreno, el cual es adquirido a través de compra informal o intercambio</w:t>
      </w:r>
      <w:r>
        <w:rPr>
          <w:szCs w:val="22"/>
        </w:rPr>
        <w:t>,</w:t>
      </w:r>
      <w:r w:rsidRPr="00E43453">
        <w:rPr>
          <w:szCs w:val="22"/>
        </w:rPr>
        <w:t xml:space="preserve"> al igual que por herencia de familiares que residen en una propiedad comunal o que ocupan un asentamiento informal.</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Esta adquisición informal en la ma</w:t>
      </w:r>
      <w:r>
        <w:rPr>
          <w:szCs w:val="22"/>
        </w:rPr>
        <w:t>yoría de los casos</w:t>
      </w:r>
      <w:r w:rsidRPr="00E43453">
        <w:rPr>
          <w:szCs w:val="22"/>
        </w:rPr>
        <w:t xml:space="preserve"> se traduce en barrios marginados, zonas marginales y zonas de alto riesgo natural (derrumbes, terremotos o deslizamientos). En la mayoría de estas zonas</w:t>
      </w:r>
      <w:r>
        <w:rPr>
          <w:szCs w:val="22"/>
        </w:rPr>
        <w:t>,</w:t>
      </w:r>
      <w:r w:rsidRPr="00E43453">
        <w:rPr>
          <w:szCs w:val="22"/>
        </w:rPr>
        <w:t xml:space="preserve"> las características de la vivienda se reflejan en el carecimiento de servicios básicos, materiales adecuados de construcción y hacinamientos en las viviendas.</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La segunda dificultad, el acceso al crédito, muestra que las opciones son muy limitadas para la mayoría de las familias. Los créditos inmobiliarios convencionales son de difícil acceso a los ciudadanos de bajos ingreso</w:t>
      </w:r>
      <w:r>
        <w:rPr>
          <w:szCs w:val="22"/>
        </w:rPr>
        <w:t>s</w:t>
      </w:r>
      <w:r w:rsidRPr="00E43453">
        <w:rPr>
          <w:szCs w:val="22"/>
        </w:rPr>
        <w:t>, ya que en su mayoría no poseen historia crediticia y gran parte de las familias poseen trabajos informales, haciendo difícil el registro de los ingresos al momento de solicitar los créditos. Esta dificultad también se agudiza al momento de acceder a una vivienda o un subsidio, debido a que se requiere un ahorro previo, el cual no es posible por los bajos ingresos de esta población.</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Como solución</w:t>
      </w:r>
      <w:r>
        <w:rPr>
          <w:szCs w:val="22"/>
        </w:rPr>
        <w:t>,</w:t>
      </w:r>
      <w:r w:rsidRPr="00E43453">
        <w:rPr>
          <w:szCs w:val="22"/>
        </w:rPr>
        <w:t xml:space="preserve"> Colombia ha promovido el acceso a las viviendas con cubrimiento de un porcentaje de los intereses, alivianando la carga de pago que tienen los compradores, teniendo como requerimientos ser viviendas nuevas y un monto especifico en el valor de la vivienda. </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En los últimos años</w:t>
      </w:r>
      <w:r>
        <w:rPr>
          <w:szCs w:val="22"/>
        </w:rPr>
        <w:t>,</w:t>
      </w:r>
      <w:r w:rsidRPr="00E43453">
        <w:rPr>
          <w:szCs w:val="22"/>
        </w:rPr>
        <w:t xml:space="preserve"> Colombia ha venido implementando una política de viviendas gratis, donde el único requerimiento para acceder a la misma es que los hogares beneficiarios se</w:t>
      </w:r>
      <w:r>
        <w:rPr>
          <w:szCs w:val="22"/>
        </w:rPr>
        <w:t>an de muy bajos ingresos. Esta p</w:t>
      </w:r>
      <w:r w:rsidRPr="00E43453">
        <w:rPr>
          <w:szCs w:val="22"/>
        </w:rPr>
        <w:t xml:space="preserve">olítica </w:t>
      </w:r>
      <w:r>
        <w:rPr>
          <w:szCs w:val="22"/>
        </w:rPr>
        <w:t>que</w:t>
      </w:r>
      <w:r w:rsidRPr="00E43453">
        <w:rPr>
          <w:szCs w:val="22"/>
        </w:rPr>
        <w:t xml:space="preserve"> </w:t>
      </w:r>
      <w:r>
        <w:rPr>
          <w:szCs w:val="22"/>
        </w:rPr>
        <w:t xml:space="preserve">en </w:t>
      </w:r>
      <w:r w:rsidRPr="00E43453">
        <w:rPr>
          <w:szCs w:val="22"/>
        </w:rPr>
        <w:t xml:space="preserve">la actual administración fijó una meta de cien mil viviendas y que en el segundo mandato se ha fijado una meta de trescientas mil, tiene objetivos insuficientes para cerrar la brecha del déficit de vivienda en Colombia. </w:t>
      </w:r>
    </w:p>
    <w:p w:rsidR="00616D1D" w:rsidRPr="00E43453" w:rsidRDefault="00365892" w:rsidP="00616D1D">
      <w:pPr>
        <w:jc w:val="both"/>
        <w:rPr>
          <w:szCs w:val="22"/>
        </w:rPr>
      </w:pPr>
    </w:p>
    <w:p w:rsidR="000D6A63" w:rsidRDefault="00365892" w:rsidP="00DE0156">
      <w:pPr>
        <w:autoSpaceDE w:val="0"/>
        <w:autoSpaceDN w:val="0"/>
        <w:adjustRightInd w:val="0"/>
        <w:rPr>
          <w:b/>
          <w:szCs w:val="22"/>
        </w:rPr>
      </w:pPr>
    </w:p>
    <w:p w:rsidR="00616D1D" w:rsidRPr="00E43453" w:rsidRDefault="00FA64AA" w:rsidP="00DE0156">
      <w:pPr>
        <w:autoSpaceDE w:val="0"/>
        <w:autoSpaceDN w:val="0"/>
        <w:adjustRightInd w:val="0"/>
        <w:rPr>
          <w:b/>
          <w:szCs w:val="22"/>
        </w:rPr>
      </w:pPr>
      <w:r w:rsidRPr="00E43453">
        <w:rPr>
          <w:b/>
          <w:szCs w:val="22"/>
        </w:rPr>
        <w:t>LA SITUACIÓN DE LA VIVIENDA EN COLOMBIA</w:t>
      </w:r>
    </w:p>
    <w:p w:rsidR="00616D1D" w:rsidRPr="00E43453" w:rsidRDefault="00365892" w:rsidP="00616D1D">
      <w:pPr>
        <w:jc w:val="center"/>
        <w:rPr>
          <w:szCs w:val="22"/>
        </w:rPr>
      </w:pPr>
    </w:p>
    <w:p w:rsidR="00616D1D" w:rsidRDefault="00FA64AA" w:rsidP="00616D1D">
      <w:pPr>
        <w:jc w:val="both"/>
        <w:rPr>
          <w:szCs w:val="22"/>
        </w:rPr>
      </w:pPr>
      <w:r w:rsidRPr="00E43453">
        <w:rPr>
          <w:szCs w:val="22"/>
        </w:rPr>
        <w:t>Para el año 2005 el último registro del déficit de vivienda calculado por el DANE</w:t>
      </w:r>
      <w:r w:rsidRPr="00E43453">
        <w:rPr>
          <w:rStyle w:val="Refdenotaalpie"/>
          <w:szCs w:val="22"/>
        </w:rPr>
        <w:footnoteReference w:id="3"/>
      </w:r>
      <w:r w:rsidRPr="00E43453">
        <w:rPr>
          <w:szCs w:val="22"/>
        </w:rPr>
        <w:t xml:space="preserve"> se expresó así: </w:t>
      </w:r>
    </w:p>
    <w:p w:rsidR="000D6A63" w:rsidRDefault="00365892" w:rsidP="00616D1D">
      <w:pPr>
        <w:jc w:val="both"/>
        <w:rPr>
          <w:szCs w:val="22"/>
        </w:rPr>
      </w:pPr>
    </w:p>
    <w:p w:rsidR="000D6A63" w:rsidRPr="00E43453" w:rsidRDefault="00FA64AA" w:rsidP="00616D1D">
      <w:pPr>
        <w:jc w:val="both"/>
        <w:rPr>
          <w:szCs w:val="22"/>
        </w:rPr>
      </w:pPr>
      <w:r>
        <w:rPr>
          <w:szCs w:val="22"/>
        </w:rPr>
        <w:t>TABLA1. DEFCITI DE VIVIENDA</w:t>
      </w:r>
    </w:p>
    <w:p w:rsidR="00616D1D" w:rsidRPr="00E43453" w:rsidRDefault="00FA64AA" w:rsidP="00616D1D">
      <w:pPr>
        <w:jc w:val="center"/>
        <w:rPr>
          <w:szCs w:val="22"/>
        </w:rPr>
      </w:pPr>
      <w:r w:rsidRPr="00E43453">
        <w:rPr>
          <w:noProof/>
          <w:szCs w:val="22"/>
          <w:lang w:eastAsia="es-CO"/>
        </w:rPr>
        <w:drawing>
          <wp:inline distT="0" distB="0" distL="0" distR="0">
            <wp:extent cx="5587568" cy="800100"/>
            <wp:effectExtent l="19050" t="0" r="0" b="0"/>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5612130" cy="803617"/>
                    </a:xfrm>
                    <a:prstGeom prst="rect">
                      <a:avLst/>
                    </a:prstGeom>
                    <a:noFill/>
                    <a:ln w="9525">
                      <a:noFill/>
                      <a:miter lim="800000"/>
                      <a:headEnd/>
                      <a:tailEnd/>
                    </a:ln>
                  </pic:spPr>
                </pic:pic>
              </a:graphicData>
            </a:graphic>
          </wp:inline>
        </w:drawing>
      </w:r>
    </w:p>
    <w:p w:rsidR="00DE0156" w:rsidRPr="000D6A63" w:rsidRDefault="00FA64AA" w:rsidP="00616D1D">
      <w:pPr>
        <w:jc w:val="both"/>
        <w:rPr>
          <w:b/>
          <w:szCs w:val="22"/>
        </w:rPr>
      </w:pPr>
      <w:r w:rsidRPr="000D6A63">
        <w:rPr>
          <w:b/>
          <w:sz w:val="16"/>
          <w:szCs w:val="22"/>
        </w:rPr>
        <w:t>Fuente: DANE</w:t>
      </w:r>
    </w:p>
    <w:p w:rsidR="000D6A63" w:rsidRDefault="00365892" w:rsidP="00616D1D">
      <w:pPr>
        <w:jc w:val="both"/>
        <w:rPr>
          <w:szCs w:val="22"/>
        </w:rPr>
      </w:pPr>
    </w:p>
    <w:p w:rsidR="000D6A63" w:rsidRDefault="00FA64AA" w:rsidP="00616D1D">
      <w:pPr>
        <w:jc w:val="both"/>
        <w:rPr>
          <w:szCs w:val="22"/>
        </w:rPr>
      </w:pPr>
      <w:r>
        <w:rPr>
          <w:szCs w:val="22"/>
        </w:rPr>
        <w:t>Como se puede observar en la tabla 1, en 2005,</w:t>
      </w:r>
      <w:r w:rsidRPr="00E43453">
        <w:rPr>
          <w:szCs w:val="22"/>
        </w:rPr>
        <w:t xml:space="preserve"> 3.828.055</w:t>
      </w:r>
      <w:r>
        <w:rPr>
          <w:szCs w:val="22"/>
        </w:rPr>
        <w:t xml:space="preserve"> hogares presentaban déficit. En este</w:t>
      </w:r>
      <w:r w:rsidRPr="00E43453">
        <w:rPr>
          <w:szCs w:val="22"/>
        </w:rPr>
        <w:t xml:space="preserve"> ejercicio analítico</w:t>
      </w:r>
      <w:r>
        <w:rPr>
          <w:szCs w:val="22"/>
        </w:rPr>
        <w:t>, el déficit cuant</w:t>
      </w:r>
      <w:r w:rsidRPr="00E43453">
        <w:rPr>
          <w:szCs w:val="22"/>
        </w:rPr>
        <w:t>itativo mide la cantidad de viviendas que la sociedad debe construir para que la relación hogar vivienda sea de uno a uno. En cuanto al cualitativo la encuesta lo contempló como deficiencias en la estructura del inmueble, acceso a servicios público</w:t>
      </w:r>
      <w:r>
        <w:rPr>
          <w:szCs w:val="22"/>
        </w:rPr>
        <w:t>s</w:t>
      </w:r>
      <w:r w:rsidRPr="00E43453">
        <w:rPr>
          <w:szCs w:val="22"/>
        </w:rPr>
        <w:t xml:space="preserve"> y número de integrantes por vivienda.</w:t>
      </w:r>
      <w:r>
        <w:rPr>
          <w:szCs w:val="22"/>
        </w:rPr>
        <w:t xml:space="preserve"> A partir de este resultado se resalta que la población crítica son los 1.307.757 hogares. </w:t>
      </w:r>
    </w:p>
    <w:p w:rsidR="000D6A63" w:rsidRDefault="00FA64AA" w:rsidP="00616D1D">
      <w:pPr>
        <w:jc w:val="both"/>
        <w:rPr>
          <w:szCs w:val="22"/>
        </w:rPr>
      </w:pPr>
      <w:r>
        <w:rPr>
          <w:szCs w:val="22"/>
        </w:rPr>
        <w:t xml:space="preserve"> </w:t>
      </w:r>
    </w:p>
    <w:p w:rsidR="00616D1D" w:rsidRPr="00E43453" w:rsidRDefault="00FA64AA" w:rsidP="00616D1D">
      <w:pPr>
        <w:jc w:val="both"/>
        <w:rPr>
          <w:szCs w:val="22"/>
        </w:rPr>
      </w:pPr>
      <w:r>
        <w:rPr>
          <w:szCs w:val="22"/>
        </w:rPr>
        <w:t xml:space="preserve">La encuesta del DANE (2005) </w:t>
      </w:r>
      <w:r w:rsidRPr="00E43453">
        <w:rPr>
          <w:szCs w:val="22"/>
        </w:rPr>
        <w:t>revela que el 34% de los hogares en Colombia se encuentran en déficit, de los cuales el 58% son urbanos y el 42% del área rural.</w:t>
      </w:r>
      <w:r>
        <w:rPr>
          <w:szCs w:val="22"/>
        </w:rPr>
        <w:t xml:space="preserve"> </w:t>
      </w:r>
      <w:r w:rsidRPr="00E43453">
        <w:rPr>
          <w:szCs w:val="22"/>
        </w:rPr>
        <w:t>Al</w:t>
      </w:r>
      <w:r>
        <w:rPr>
          <w:szCs w:val="22"/>
        </w:rPr>
        <w:t xml:space="preserve"> desagregar la cifra</w:t>
      </w:r>
      <w:r w:rsidRPr="00E43453">
        <w:rPr>
          <w:szCs w:val="22"/>
        </w:rPr>
        <w:t xml:space="preserve">, de </w:t>
      </w:r>
      <w:r>
        <w:rPr>
          <w:szCs w:val="22"/>
        </w:rPr>
        <w:t>los 3.828.055 hogares</w:t>
      </w:r>
      <w:r w:rsidRPr="00E43453">
        <w:rPr>
          <w:szCs w:val="22"/>
        </w:rPr>
        <w:t xml:space="preserve">, el 34% </w:t>
      </w:r>
      <w:r>
        <w:rPr>
          <w:szCs w:val="22"/>
        </w:rPr>
        <w:t>corresponde es</w:t>
      </w:r>
      <w:r w:rsidRPr="00E43453">
        <w:rPr>
          <w:szCs w:val="22"/>
        </w:rPr>
        <w:t xml:space="preserve"> cua</w:t>
      </w:r>
      <w:r>
        <w:rPr>
          <w:szCs w:val="22"/>
        </w:rPr>
        <w:t>ntitativo y el 66% es</w:t>
      </w:r>
      <w:r w:rsidRPr="00E43453">
        <w:rPr>
          <w:szCs w:val="22"/>
        </w:rPr>
        <w:t xml:space="preserve"> cualitativo.</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Por áreas, el 79% del déficit cuantitativo son áreas urbanas y el 21% son áreas rural</w:t>
      </w:r>
      <w:r>
        <w:rPr>
          <w:szCs w:val="22"/>
        </w:rPr>
        <w:t>es. Así mismo el 47% del</w:t>
      </w:r>
      <w:r w:rsidRPr="00E43453">
        <w:rPr>
          <w:szCs w:val="22"/>
        </w:rPr>
        <w:t xml:space="preserve"> cualitativo se da en regiones urbanas, mientras el 53% lo es para regiones rurales.</w:t>
      </w:r>
      <w:r>
        <w:rPr>
          <w:szCs w:val="22"/>
        </w:rPr>
        <w:t xml:space="preserve"> A partir de esta última cifra es importante diseñar políticas públicas que solucionen el déficit urbano.</w:t>
      </w:r>
    </w:p>
    <w:p w:rsidR="00616D1D" w:rsidRPr="00E43453" w:rsidRDefault="00365892" w:rsidP="00616D1D">
      <w:pPr>
        <w:jc w:val="both"/>
        <w:rPr>
          <w:szCs w:val="22"/>
        </w:rPr>
      </w:pPr>
    </w:p>
    <w:p w:rsidR="00616D1D" w:rsidRPr="00E43453" w:rsidRDefault="00FA64AA" w:rsidP="00616D1D">
      <w:pPr>
        <w:jc w:val="both"/>
        <w:rPr>
          <w:szCs w:val="22"/>
        </w:rPr>
      </w:pPr>
      <w:r>
        <w:rPr>
          <w:szCs w:val="22"/>
        </w:rPr>
        <w:t>Otro dato clave para identificar</w:t>
      </w:r>
      <w:r w:rsidRPr="00E43453">
        <w:rPr>
          <w:szCs w:val="22"/>
        </w:rPr>
        <w:t xml:space="preserve"> las necesidades </w:t>
      </w:r>
      <w:r>
        <w:rPr>
          <w:szCs w:val="22"/>
        </w:rPr>
        <w:t>de vivienda en Colombia se</w:t>
      </w:r>
      <w:r w:rsidRPr="00E43453">
        <w:rPr>
          <w:szCs w:val="22"/>
        </w:rPr>
        <w:t xml:space="preserve"> encuesta de calidad de vida del DANE</w:t>
      </w:r>
      <w:r w:rsidRPr="00E43453">
        <w:rPr>
          <w:rStyle w:val="Refdenotaalpie"/>
          <w:szCs w:val="22"/>
        </w:rPr>
        <w:footnoteReference w:id="4"/>
      </w:r>
      <w:r>
        <w:rPr>
          <w:szCs w:val="22"/>
        </w:rPr>
        <w:t>, que</w:t>
      </w:r>
      <w:r w:rsidRPr="00E43453">
        <w:rPr>
          <w:szCs w:val="22"/>
        </w:rPr>
        <w:t xml:space="preserve"> para 2013</w:t>
      </w:r>
      <w:r>
        <w:rPr>
          <w:szCs w:val="22"/>
        </w:rPr>
        <w:t xml:space="preserve"> arroja</w:t>
      </w:r>
      <w:r w:rsidRPr="00E43453">
        <w:rPr>
          <w:szCs w:val="22"/>
        </w:rPr>
        <w:t xml:space="preserve"> los </w:t>
      </w:r>
      <w:r>
        <w:rPr>
          <w:szCs w:val="22"/>
        </w:rPr>
        <w:t>datos presentados en la tabla 2</w:t>
      </w:r>
      <w:r w:rsidRPr="00E43453">
        <w:rPr>
          <w:szCs w:val="22"/>
        </w:rPr>
        <w:t>:</w:t>
      </w:r>
    </w:p>
    <w:p w:rsidR="00616D1D" w:rsidRDefault="00365892" w:rsidP="00616D1D">
      <w:pPr>
        <w:jc w:val="both"/>
        <w:rPr>
          <w:szCs w:val="22"/>
        </w:rPr>
      </w:pPr>
    </w:p>
    <w:p w:rsidR="000D6A63" w:rsidRPr="00E43453" w:rsidRDefault="00FA64AA" w:rsidP="00616D1D">
      <w:pPr>
        <w:jc w:val="both"/>
        <w:rPr>
          <w:szCs w:val="22"/>
        </w:rPr>
      </w:pPr>
      <w:r>
        <w:rPr>
          <w:szCs w:val="22"/>
        </w:rPr>
        <w:t>TABLA 2. ENCUESTA DE CALIDAD DE VIDA 2013</w:t>
      </w:r>
    </w:p>
    <w:p w:rsidR="00616D1D" w:rsidRPr="00E43453" w:rsidRDefault="00FA64AA" w:rsidP="00616D1D">
      <w:pPr>
        <w:jc w:val="center"/>
        <w:rPr>
          <w:szCs w:val="22"/>
        </w:rPr>
      </w:pPr>
      <w:r w:rsidRPr="00E43453">
        <w:rPr>
          <w:noProof/>
          <w:szCs w:val="22"/>
          <w:lang w:eastAsia="es-CO"/>
        </w:rPr>
        <w:drawing>
          <wp:inline distT="0" distB="0" distL="0" distR="0">
            <wp:extent cx="5610860" cy="1095375"/>
            <wp:effectExtent l="19050" t="0" r="8890" b="0"/>
            <wp:docPr id="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5612130" cy="1095623"/>
                    </a:xfrm>
                    <a:prstGeom prst="rect">
                      <a:avLst/>
                    </a:prstGeom>
                    <a:noFill/>
                    <a:ln w="9525">
                      <a:noFill/>
                      <a:miter lim="800000"/>
                      <a:headEnd/>
                      <a:tailEnd/>
                    </a:ln>
                  </pic:spPr>
                </pic:pic>
              </a:graphicData>
            </a:graphic>
          </wp:inline>
        </w:drawing>
      </w:r>
    </w:p>
    <w:p w:rsidR="00DE0156" w:rsidRPr="007D698E" w:rsidRDefault="00FA64AA" w:rsidP="00616D1D">
      <w:pPr>
        <w:jc w:val="both"/>
        <w:rPr>
          <w:b/>
          <w:sz w:val="16"/>
          <w:szCs w:val="22"/>
        </w:rPr>
      </w:pPr>
      <w:r w:rsidRPr="007D698E">
        <w:rPr>
          <w:b/>
          <w:sz w:val="16"/>
          <w:szCs w:val="22"/>
        </w:rPr>
        <w:t>Fuente: DANE</w:t>
      </w:r>
    </w:p>
    <w:p w:rsidR="00F01EC4" w:rsidRDefault="00365892" w:rsidP="00616D1D">
      <w:pPr>
        <w:jc w:val="both"/>
        <w:rPr>
          <w:szCs w:val="22"/>
        </w:rPr>
      </w:pPr>
    </w:p>
    <w:p w:rsidR="00616D1D" w:rsidRPr="00E43453" w:rsidRDefault="00FA64AA" w:rsidP="00616D1D">
      <w:pPr>
        <w:jc w:val="both"/>
        <w:rPr>
          <w:szCs w:val="22"/>
        </w:rPr>
      </w:pPr>
      <w:r w:rsidRPr="00E43453">
        <w:rPr>
          <w:szCs w:val="22"/>
        </w:rPr>
        <w:t>Si bien la encuesta</w:t>
      </w:r>
      <w:r>
        <w:rPr>
          <w:szCs w:val="22"/>
        </w:rPr>
        <w:t xml:space="preserve"> de calidad de vida</w:t>
      </w:r>
      <w:r w:rsidRPr="00E43453">
        <w:rPr>
          <w:szCs w:val="22"/>
        </w:rPr>
        <w:t xml:space="preserve"> no mide el déficit de vivienda, si</w:t>
      </w:r>
      <w:r>
        <w:rPr>
          <w:szCs w:val="22"/>
        </w:rPr>
        <w:t xml:space="preserve"> muestra la relación de hogares en arriendo o subarriendo, lo</w:t>
      </w:r>
      <w:r w:rsidRPr="00E43453">
        <w:rPr>
          <w:szCs w:val="22"/>
        </w:rPr>
        <w:t>s cuales ascienden a 4.666.124, un segmento de la población significativo que también debería acceder a vivienda y donde su gran</w:t>
      </w:r>
      <w:r>
        <w:rPr>
          <w:szCs w:val="22"/>
        </w:rPr>
        <w:t xml:space="preserve"> porcentaje es población urbana.</w:t>
      </w:r>
      <w:r w:rsidRPr="00E43453">
        <w:rPr>
          <w:szCs w:val="22"/>
        </w:rPr>
        <w:t xml:space="preserve"> </w:t>
      </w:r>
      <w:r>
        <w:rPr>
          <w:szCs w:val="22"/>
        </w:rPr>
        <w:t>No hay que olvidar lo</w:t>
      </w:r>
      <w:r w:rsidRPr="00E43453">
        <w:rPr>
          <w:szCs w:val="22"/>
        </w:rPr>
        <w:t>s 2.193.676</w:t>
      </w:r>
      <w:r>
        <w:rPr>
          <w:szCs w:val="22"/>
        </w:rPr>
        <w:t xml:space="preserve"> de hogares </w:t>
      </w:r>
      <w:r w:rsidRPr="00E43453">
        <w:rPr>
          <w:szCs w:val="22"/>
        </w:rPr>
        <w:t>que viven con permiso del propietario sin pago de alquiler.</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Como</w:t>
      </w:r>
      <w:r>
        <w:rPr>
          <w:szCs w:val="22"/>
        </w:rPr>
        <w:t xml:space="preserve"> se ve en las anteriores tablas</w:t>
      </w:r>
      <w:r w:rsidRPr="00E43453">
        <w:rPr>
          <w:szCs w:val="22"/>
        </w:rPr>
        <w:t>, las cifras relacionadas exclusivamente con déficit se quedan cortas, pues no solo se refieren a las necesidades de las personas que no poseen vivienda, sino también a un mercado de arriendo donde se requiere una política pública que esti</w:t>
      </w:r>
      <w:r>
        <w:rPr>
          <w:szCs w:val="22"/>
        </w:rPr>
        <w:t xml:space="preserve">mule la compra de primera vivienda </w:t>
      </w:r>
      <w:r w:rsidRPr="00E43453">
        <w:rPr>
          <w:szCs w:val="22"/>
        </w:rPr>
        <w:t>para este seg</w:t>
      </w:r>
      <w:r>
        <w:rPr>
          <w:szCs w:val="22"/>
        </w:rPr>
        <w:t>mento</w:t>
      </w:r>
      <w:r w:rsidRPr="00E43453">
        <w:rPr>
          <w:szCs w:val="22"/>
        </w:rPr>
        <w:t xml:space="preserve"> de la población. </w:t>
      </w:r>
    </w:p>
    <w:p w:rsidR="00616D1D" w:rsidRPr="00E43453" w:rsidRDefault="00365892" w:rsidP="00616D1D">
      <w:pPr>
        <w:jc w:val="both"/>
        <w:rPr>
          <w:szCs w:val="22"/>
        </w:rPr>
      </w:pPr>
    </w:p>
    <w:p w:rsidR="007D698E" w:rsidRPr="007D698E" w:rsidRDefault="00FA64AA" w:rsidP="00616D1D">
      <w:pPr>
        <w:jc w:val="both"/>
        <w:rPr>
          <w:b/>
          <w:szCs w:val="22"/>
        </w:rPr>
      </w:pPr>
      <w:r w:rsidRPr="007D698E">
        <w:rPr>
          <w:b/>
          <w:szCs w:val="22"/>
        </w:rPr>
        <w:t>ACCESO AL CREDITO HIPOTECARIO EN COLOMBIA</w:t>
      </w:r>
    </w:p>
    <w:p w:rsidR="007D698E" w:rsidRDefault="00365892" w:rsidP="00616D1D">
      <w:pPr>
        <w:jc w:val="both"/>
        <w:rPr>
          <w:szCs w:val="22"/>
        </w:rPr>
      </w:pPr>
    </w:p>
    <w:p w:rsidR="00616D1D" w:rsidRPr="00E43453" w:rsidRDefault="00FA64AA" w:rsidP="00616D1D">
      <w:pPr>
        <w:jc w:val="both"/>
        <w:rPr>
          <w:szCs w:val="22"/>
        </w:rPr>
      </w:pPr>
      <w:r w:rsidRPr="00E43453">
        <w:rPr>
          <w:szCs w:val="22"/>
        </w:rPr>
        <w:t>Al ver la participación por modalidad de cartera de las entidades financieras</w:t>
      </w:r>
      <w:r w:rsidRPr="00E43453">
        <w:rPr>
          <w:rStyle w:val="Refdenotaalpie"/>
          <w:szCs w:val="22"/>
        </w:rPr>
        <w:footnoteReference w:id="5"/>
      </w:r>
      <w:r w:rsidRPr="00E43453">
        <w:rPr>
          <w:szCs w:val="22"/>
        </w:rPr>
        <w:t>, se hace notorio que la cartera hipotecaría ha decrecido con relación a otros productos financieros.</w:t>
      </w:r>
    </w:p>
    <w:p w:rsidR="00616D1D" w:rsidRDefault="00365892" w:rsidP="00616D1D">
      <w:pPr>
        <w:jc w:val="both"/>
        <w:rPr>
          <w:szCs w:val="22"/>
        </w:rPr>
      </w:pPr>
    </w:p>
    <w:p w:rsidR="00F01EC4" w:rsidRDefault="00365892" w:rsidP="00616D1D">
      <w:pPr>
        <w:jc w:val="both"/>
        <w:rPr>
          <w:b/>
          <w:szCs w:val="22"/>
        </w:rPr>
      </w:pPr>
    </w:p>
    <w:p w:rsidR="007D698E" w:rsidRPr="007D698E" w:rsidRDefault="00FA64AA" w:rsidP="00616D1D">
      <w:pPr>
        <w:jc w:val="both"/>
        <w:rPr>
          <w:b/>
          <w:szCs w:val="22"/>
        </w:rPr>
      </w:pPr>
      <w:r>
        <w:rPr>
          <w:b/>
          <w:szCs w:val="22"/>
        </w:rPr>
        <w:t>GRAFICO</w:t>
      </w:r>
      <w:r w:rsidRPr="007D698E">
        <w:rPr>
          <w:b/>
          <w:szCs w:val="22"/>
        </w:rPr>
        <w:t xml:space="preserve"> 3 MODALIDAD DE CARTERA </w:t>
      </w:r>
    </w:p>
    <w:p w:rsidR="00616D1D" w:rsidRPr="00E43453" w:rsidRDefault="00FA64AA" w:rsidP="00616D1D">
      <w:pPr>
        <w:jc w:val="center"/>
        <w:rPr>
          <w:szCs w:val="22"/>
        </w:rPr>
      </w:pPr>
      <w:r w:rsidRPr="00E43453">
        <w:rPr>
          <w:noProof/>
          <w:szCs w:val="22"/>
          <w:lang w:eastAsia="es-CO"/>
        </w:rPr>
        <w:drawing>
          <wp:inline distT="0" distB="0" distL="0" distR="0">
            <wp:extent cx="3575625" cy="2199736"/>
            <wp:effectExtent l="19050" t="0" r="5775" b="0"/>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l="15952" t="19877" r="20286" b="27869"/>
                    <a:stretch>
                      <a:fillRect/>
                    </a:stretch>
                  </pic:blipFill>
                  <pic:spPr bwMode="auto">
                    <a:xfrm>
                      <a:off x="0" y="0"/>
                      <a:ext cx="3575625" cy="2199736"/>
                    </a:xfrm>
                    <a:prstGeom prst="rect">
                      <a:avLst/>
                    </a:prstGeom>
                    <a:noFill/>
                    <a:ln w="9525">
                      <a:noFill/>
                      <a:miter lim="800000"/>
                      <a:headEnd/>
                      <a:tailEnd/>
                    </a:ln>
                  </pic:spPr>
                </pic:pic>
              </a:graphicData>
            </a:graphic>
          </wp:inline>
        </w:drawing>
      </w:r>
    </w:p>
    <w:p w:rsidR="00616D1D" w:rsidRPr="007D698E" w:rsidRDefault="00FA64AA" w:rsidP="007D698E">
      <w:pPr>
        <w:jc w:val="center"/>
        <w:rPr>
          <w:b/>
          <w:sz w:val="16"/>
          <w:szCs w:val="22"/>
        </w:rPr>
      </w:pPr>
      <w:r w:rsidRPr="007D698E">
        <w:rPr>
          <w:b/>
          <w:sz w:val="16"/>
          <w:szCs w:val="22"/>
        </w:rPr>
        <w:t>Fuente: SUPERFINANCIERA</w:t>
      </w:r>
    </w:p>
    <w:p w:rsidR="007D698E" w:rsidRPr="007D698E" w:rsidRDefault="00365892" w:rsidP="00616D1D">
      <w:pPr>
        <w:jc w:val="center"/>
        <w:rPr>
          <w:b/>
          <w:sz w:val="20"/>
          <w:szCs w:val="22"/>
        </w:rPr>
      </w:pPr>
    </w:p>
    <w:p w:rsidR="00616D1D" w:rsidRPr="00E43453" w:rsidRDefault="00FA64AA" w:rsidP="00616D1D">
      <w:pPr>
        <w:jc w:val="both"/>
        <w:rPr>
          <w:szCs w:val="22"/>
        </w:rPr>
      </w:pPr>
      <w:r w:rsidRPr="00E43453">
        <w:rPr>
          <w:szCs w:val="22"/>
        </w:rPr>
        <w:t>Es clara la baja participación de los créditos de vivienda como porcentaje total de la cartera de las entidades financieras.</w:t>
      </w:r>
      <w:r>
        <w:rPr>
          <w:szCs w:val="22"/>
        </w:rPr>
        <w:t xml:space="preserve"> Por consiguiente, </w:t>
      </w:r>
      <w:r w:rsidRPr="00E43453">
        <w:rPr>
          <w:szCs w:val="22"/>
        </w:rPr>
        <w:t>a través de políticas</w:t>
      </w:r>
      <w:r>
        <w:rPr>
          <w:szCs w:val="22"/>
        </w:rPr>
        <w:t xml:space="preserve"> públicas</w:t>
      </w:r>
      <w:r w:rsidRPr="00E43453">
        <w:rPr>
          <w:szCs w:val="22"/>
        </w:rPr>
        <w:t xml:space="preserve"> de </w:t>
      </w:r>
      <w:r>
        <w:rPr>
          <w:szCs w:val="22"/>
        </w:rPr>
        <w:t xml:space="preserve">estimulo de vivienda, como </w:t>
      </w:r>
      <w:r w:rsidRPr="00E43453">
        <w:rPr>
          <w:szCs w:val="22"/>
        </w:rPr>
        <w:t>el su</w:t>
      </w:r>
      <w:r>
        <w:rPr>
          <w:szCs w:val="22"/>
        </w:rPr>
        <w:t xml:space="preserve">bsidio a la tasa de interés, </w:t>
      </w:r>
      <w:r w:rsidRPr="00E43453">
        <w:rPr>
          <w:szCs w:val="22"/>
        </w:rPr>
        <w:t xml:space="preserve">se puede </w:t>
      </w:r>
      <w:r>
        <w:rPr>
          <w:szCs w:val="22"/>
        </w:rPr>
        <w:t xml:space="preserve">comenzar a </w:t>
      </w:r>
      <w:r w:rsidRPr="00E43453">
        <w:rPr>
          <w:szCs w:val="22"/>
        </w:rPr>
        <w:t>revertir esta tendencia.</w:t>
      </w:r>
      <w:r>
        <w:rPr>
          <w:szCs w:val="22"/>
        </w:rPr>
        <w:t xml:space="preserve"> En este sentido</w:t>
      </w:r>
      <w:r w:rsidRPr="00E43453">
        <w:rPr>
          <w:szCs w:val="22"/>
        </w:rPr>
        <w:t xml:space="preserve"> </w:t>
      </w:r>
      <w:r>
        <w:rPr>
          <w:szCs w:val="22"/>
        </w:rPr>
        <w:t>s</w:t>
      </w:r>
      <w:r w:rsidRPr="00E43453">
        <w:rPr>
          <w:szCs w:val="22"/>
        </w:rPr>
        <w:t>i el gobierno</w:t>
      </w:r>
      <w:r>
        <w:rPr>
          <w:szCs w:val="22"/>
        </w:rPr>
        <w:t xml:space="preserve"> nacional</w:t>
      </w:r>
      <w:r w:rsidRPr="00E43453">
        <w:rPr>
          <w:szCs w:val="22"/>
        </w:rPr>
        <w:t xml:space="preserve"> no concibe una política pública más activa, haciendo especial énfasis en los hogares de menores ingresos, las familias pobres no podrán acceder a una vivienda en Colombia, por las limitaciones anteriormente mencionadas. </w:t>
      </w:r>
    </w:p>
    <w:p w:rsidR="00616D1D" w:rsidRDefault="00365892" w:rsidP="00616D1D">
      <w:pPr>
        <w:autoSpaceDE w:val="0"/>
        <w:autoSpaceDN w:val="0"/>
        <w:adjustRightInd w:val="0"/>
        <w:jc w:val="both"/>
        <w:rPr>
          <w:szCs w:val="22"/>
        </w:rPr>
      </w:pPr>
    </w:p>
    <w:p w:rsidR="00151B41" w:rsidRPr="00BD28D0" w:rsidRDefault="00FA64AA" w:rsidP="00151B41">
      <w:pPr>
        <w:rPr>
          <w:b/>
        </w:rPr>
      </w:pPr>
      <w:r w:rsidRPr="00BD28D0">
        <w:rPr>
          <w:b/>
        </w:rPr>
        <w:lastRenderedPageBreak/>
        <w:t>Estadísticas de asalariados de la Gran Encuesta Integrada de Hogares de junio de 2013</w:t>
      </w:r>
    </w:p>
    <w:p w:rsidR="00151B41" w:rsidRDefault="00365892" w:rsidP="00151B41"/>
    <w:p w:rsidR="00151B41" w:rsidRPr="00151B41" w:rsidRDefault="00FA64AA" w:rsidP="00151B41">
      <w:pPr>
        <w:jc w:val="both"/>
        <w:rPr>
          <w:szCs w:val="22"/>
        </w:rPr>
      </w:pPr>
      <w:r>
        <w:t>L</w:t>
      </w:r>
      <w:r w:rsidRPr="00151B41">
        <w:rPr>
          <w:szCs w:val="22"/>
        </w:rPr>
        <w:t xml:space="preserve">os resultados de la Gran Encuesta Integrada de Hogares realizada por el DANE en junio de 2013, </w:t>
      </w:r>
      <w:r>
        <w:rPr>
          <w:szCs w:val="22"/>
        </w:rPr>
        <w:t>reflejan</w:t>
      </w:r>
      <w:r w:rsidRPr="00151B41">
        <w:rPr>
          <w:szCs w:val="22"/>
        </w:rPr>
        <w:t xml:space="preserve"> que el 49.97% de los ocupados en Colombia son asalariados y por ende trabajadores formales. La distribución de estos asalariados en función de los ingresos devengados en salarios mínimos legales vigentes se presenta en la Tabla 3.</w:t>
      </w:r>
    </w:p>
    <w:p w:rsidR="00151B41" w:rsidRPr="00151B41" w:rsidRDefault="00365892" w:rsidP="00151B41">
      <w:pPr>
        <w:jc w:val="both"/>
        <w:rPr>
          <w:szCs w:val="22"/>
        </w:rPr>
      </w:pPr>
    </w:p>
    <w:p w:rsidR="00151B41" w:rsidRDefault="00FA64AA" w:rsidP="00EB5AA6">
      <w:pPr>
        <w:jc w:val="both"/>
        <w:rPr>
          <w:szCs w:val="22"/>
        </w:rPr>
      </w:pPr>
      <w:r w:rsidRPr="00EB5AA6">
        <w:rPr>
          <w:szCs w:val="22"/>
        </w:rPr>
        <w:t>TABLA 3. DISTRIBUCIÓN DE ASALARIADOS GEIH (JUN-2013)</w:t>
      </w:r>
    </w:p>
    <w:p w:rsidR="00EB5AA6" w:rsidRPr="00EB5AA6" w:rsidRDefault="00365892" w:rsidP="00EB5AA6">
      <w:pPr>
        <w:jc w:val="both"/>
        <w:rPr>
          <w:szCs w:val="22"/>
        </w:rPr>
      </w:pPr>
    </w:p>
    <w:tbl>
      <w:tblPr>
        <w:tblStyle w:val="Sombreadomedio1-nfasis11"/>
        <w:tblW w:w="10839" w:type="dxa"/>
        <w:tblInd w:w="-1026" w:type="dxa"/>
        <w:tblLook w:val="04A0" w:firstRow="1" w:lastRow="0" w:firstColumn="1" w:lastColumn="0" w:noHBand="0" w:noVBand="1"/>
      </w:tblPr>
      <w:tblGrid>
        <w:gridCol w:w="1200"/>
        <w:gridCol w:w="1600"/>
        <w:gridCol w:w="1380"/>
        <w:gridCol w:w="1401"/>
        <w:gridCol w:w="1220"/>
        <w:gridCol w:w="1401"/>
        <w:gridCol w:w="1437"/>
        <w:gridCol w:w="1200"/>
      </w:tblGrid>
      <w:tr w:rsidR="00151B41" w:rsidRPr="00EB5AA6">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dxa"/>
            <w:noWrap/>
          </w:tcPr>
          <w:p w:rsidR="00151B41" w:rsidRPr="00EB5AA6" w:rsidRDefault="00365892" w:rsidP="00EB5AA6">
            <w:pPr>
              <w:jc w:val="both"/>
              <w:rPr>
                <w:szCs w:val="22"/>
              </w:rPr>
            </w:pPr>
          </w:p>
        </w:tc>
        <w:tc>
          <w:tcPr>
            <w:tcW w:w="1600" w:type="dxa"/>
            <w:noWrap/>
          </w:tcPr>
          <w:p w:rsidR="00151B41" w:rsidRPr="00EB5AA6" w:rsidRDefault="00365892" w:rsidP="00EB5AA6">
            <w:pPr>
              <w:jc w:val="both"/>
              <w:cnfStyle w:val="100000000000" w:firstRow="1" w:lastRow="0" w:firstColumn="0" w:lastColumn="0" w:oddVBand="0" w:evenVBand="0" w:oddHBand="0" w:evenHBand="0" w:firstRowFirstColumn="0" w:firstRowLastColumn="0" w:lastRowFirstColumn="0" w:lastRowLastColumn="0"/>
              <w:rPr>
                <w:szCs w:val="22"/>
              </w:rPr>
            </w:pPr>
          </w:p>
        </w:tc>
        <w:tc>
          <w:tcPr>
            <w:tcW w:w="1380" w:type="dxa"/>
            <w:noWrap/>
          </w:tcPr>
          <w:p w:rsidR="00151B41" w:rsidRPr="00EB5AA6" w:rsidRDefault="00FA64AA" w:rsidP="00EB5AA6">
            <w:pPr>
              <w:jc w:val="both"/>
              <w:cnfStyle w:val="100000000000" w:firstRow="1" w:lastRow="0" w:firstColumn="0" w:lastColumn="0" w:oddVBand="0" w:evenVBand="0" w:oddHBand="0" w:evenHBand="0" w:firstRowFirstColumn="0" w:firstRowLastColumn="0" w:lastRowFirstColumn="0" w:lastRowLastColumn="0"/>
              <w:rPr>
                <w:szCs w:val="22"/>
              </w:rPr>
            </w:pPr>
            <w:r w:rsidRPr="00EB5AA6">
              <w:rPr>
                <w:szCs w:val="22"/>
              </w:rPr>
              <w:t>perc_0a1</w:t>
            </w:r>
          </w:p>
        </w:tc>
        <w:tc>
          <w:tcPr>
            <w:tcW w:w="1401" w:type="dxa"/>
            <w:noWrap/>
          </w:tcPr>
          <w:p w:rsidR="00151B41" w:rsidRPr="00EB5AA6" w:rsidRDefault="00FA64AA" w:rsidP="00EB5AA6">
            <w:pPr>
              <w:jc w:val="both"/>
              <w:cnfStyle w:val="100000000000" w:firstRow="1" w:lastRow="0" w:firstColumn="0" w:lastColumn="0" w:oddVBand="0" w:evenVBand="0" w:oddHBand="0" w:evenHBand="0" w:firstRowFirstColumn="0" w:firstRowLastColumn="0" w:lastRowFirstColumn="0" w:lastRowLastColumn="0"/>
              <w:rPr>
                <w:szCs w:val="22"/>
              </w:rPr>
            </w:pPr>
            <w:r w:rsidRPr="00EB5AA6">
              <w:rPr>
                <w:szCs w:val="22"/>
              </w:rPr>
              <w:t>perc_1a2</w:t>
            </w:r>
          </w:p>
        </w:tc>
        <w:tc>
          <w:tcPr>
            <w:tcW w:w="1220" w:type="dxa"/>
            <w:noWrap/>
          </w:tcPr>
          <w:p w:rsidR="00151B41" w:rsidRPr="00EB5AA6" w:rsidRDefault="00FA64AA" w:rsidP="00EB5AA6">
            <w:pPr>
              <w:jc w:val="both"/>
              <w:cnfStyle w:val="100000000000" w:firstRow="1" w:lastRow="0" w:firstColumn="0" w:lastColumn="0" w:oddVBand="0" w:evenVBand="0" w:oddHBand="0" w:evenHBand="0" w:firstRowFirstColumn="0" w:firstRowLastColumn="0" w:lastRowFirstColumn="0" w:lastRowLastColumn="0"/>
              <w:rPr>
                <w:szCs w:val="22"/>
              </w:rPr>
            </w:pPr>
            <w:r w:rsidRPr="00EB5AA6">
              <w:rPr>
                <w:szCs w:val="22"/>
              </w:rPr>
              <w:t>perc_2a3</w:t>
            </w:r>
          </w:p>
        </w:tc>
        <w:tc>
          <w:tcPr>
            <w:tcW w:w="1401" w:type="dxa"/>
            <w:noWrap/>
          </w:tcPr>
          <w:p w:rsidR="00151B41" w:rsidRPr="00EB5AA6" w:rsidRDefault="00FA64AA" w:rsidP="00EB5AA6">
            <w:pPr>
              <w:jc w:val="both"/>
              <w:cnfStyle w:val="100000000000" w:firstRow="1" w:lastRow="0" w:firstColumn="0" w:lastColumn="0" w:oddVBand="0" w:evenVBand="0" w:oddHBand="0" w:evenHBand="0" w:firstRowFirstColumn="0" w:firstRowLastColumn="0" w:lastRowFirstColumn="0" w:lastRowLastColumn="0"/>
              <w:rPr>
                <w:szCs w:val="22"/>
              </w:rPr>
            </w:pPr>
            <w:r w:rsidRPr="00EB5AA6">
              <w:rPr>
                <w:szCs w:val="22"/>
              </w:rPr>
              <w:t>perc_3a4</w:t>
            </w:r>
          </w:p>
        </w:tc>
        <w:tc>
          <w:tcPr>
            <w:tcW w:w="1437" w:type="dxa"/>
            <w:noWrap/>
          </w:tcPr>
          <w:p w:rsidR="00151B41" w:rsidRPr="00EB5AA6" w:rsidRDefault="00FA64AA" w:rsidP="00EB5AA6">
            <w:pPr>
              <w:jc w:val="both"/>
              <w:cnfStyle w:val="100000000000" w:firstRow="1" w:lastRow="0" w:firstColumn="0" w:lastColumn="0" w:oddVBand="0" w:evenVBand="0" w:oddHBand="0" w:evenHBand="0" w:firstRowFirstColumn="0" w:firstRowLastColumn="0" w:lastRowFirstColumn="0" w:lastRowLastColumn="0"/>
              <w:rPr>
                <w:szCs w:val="22"/>
              </w:rPr>
            </w:pPr>
            <w:r w:rsidRPr="00EB5AA6">
              <w:rPr>
                <w:szCs w:val="22"/>
              </w:rPr>
              <w:t>perc_4 o mas</w:t>
            </w:r>
          </w:p>
        </w:tc>
        <w:tc>
          <w:tcPr>
            <w:tcW w:w="1200" w:type="dxa"/>
            <w:noWrap/>
          </w:tcPr>
          <w:p w:rsidR="00151B41" w:rsidRPr="00EB5AA6" w:rsidRDefault="00FA64AA" w:rsidP="00EB5AA6">
            <w:pPr>
              <w:jc w:val="both"/>
              <w:cnfStyle w:val="100000000000" w:firstRow="1" w:lastRow="0" w:firstColumn="0" w:lastColumn="0" w:oddVBand="0" w:evenVBand="0" w:oddHBand="0" w:evenHBand="0" w:firstRowFirstColumn="0" w:firstRowLastColumn="0" w:lastRowFirstColumn="0" w:lastRowLastColumn="0"/>
              <w:rPr>
                <w:szCs w:val="22"/>
              </w:rPr>
            </w:pPr>
            <w:r w:rsidRPr="00EB5AA6">
              <w:rPr>
                <w:szCs w:val="22"/>
              </w:rPr>
              <w:t>TOTAL</w:t>
            </w:r>
          </w:p>
        </w:tc>
      </w:tr>
      <w:tr w:rsidR="00151B41" w:rsidRPr="00BD28D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dxa"/>
            <w:noWrap/>
          </w:tcPr>
          <w:p w:rsidR="00151B41" w:rsidRPr="00BD28D0" w:rsidRDefault="00FA64AA" w:rsidP="00EB5AA6">
            <w:pPr>
              <w:jc w:val="center"/>
              <w:rPr>
                <w:rFonts w:eastAsia="Times New Roman"/>
                <w:color w:val="000000"/>
                <w:sz w:val="20"/>
                <w:szCs w:val="20"/>
                <w:lang w:eastAsia="es-CO"/>
              </w:rPr>
            </w:pPr>
            <w:r w:rsidRPr="00BD28D0">
              <w:rPr>
                <w:rFonts w:eastAsia="Times New Roman"/>
                <w:color w:val="000000"/>
                <w:sz w:val="20"/>
                <w:szCs w:val="20"/>
                <w:lang w:eastAsia="es-CO"/>
              </w:rPr>
              <w:t>Cabecera</w:t>
            </w:r>
          </w:p>
        </w:tc>
        <w:tc>
          <w:tcPr>
            <w:tcW w:w="1600"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Pr>
                <w:rFonts w:eastAsia="Times New Roman"/>
                <w:color w:val="000000"/>
                <w:sz w:val="20"/>
                <w:szCs w:val="20"/>
                <w:lang w:eastAsia="es-CO"/>
              </w:rPr>
              <w:t>A</w:t>
            </w:r>
            <w:r w:rsidRPr="00BD28D0">
              <w:rPr>
                <w:rFonts w:eastAsia="Times New Roman"/>
                <w:color w:val="000000"/>
                <w:sz w:val="20"/>
                <w:szCs w:val="20"/>
                <w:lang w:eastAsia="es-CO"/>
              </w:rPr>
              <w:t>salariados</w:t>
            </w:r>
          </w:p>
        </w:tc>
        <w:tc>
          <w:tcPr>
            <w:tcW w:w="1380"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2,876,724</w:t>
            </w:r>
          </w:p>
        </w:tc>
        <w:tc>
          <w:tcPr>
            <w:tcW w:w="1401"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3,081,753</w:t>
            </w:r>
          </w:p>
        </w:tc>
        <w:tc>
          <w:tcPr>
            <w:tcW w:w="1220"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754,342</w:t>
            </w:r>
          </w:p>
        </w:tc>
        <w:tc>
          <w:tcPr>
            <w:tcW w:w="1401"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339,728</w:t>
            </w:r>
          </w:p>
        </w:tc>
        <w:tc>
          <w:tcPr>
            <w:tcW w:w="1437"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454,013</w:t>
            </w:r>
          </w:p>
        </w:tc>
        <w:tc>
          <w:tcPr>
            <w:tcW w:w="1200"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7,506,561</w:t>
            </w:r>
          </w:p>
        </w:tc>
      </w:tr>
      <w:tr w:rsidR="00151B41" w:rsidRPr="00BD28D0">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dxa"/>
            <w:noWrap/>
          </w:tcPr>
          <w:p w:rsidR="00151B41" w:rsidRPr="00BD28D0" w:rsidRDefault="00365892" w:rsidP="00EB5AA6">
            <w:pPr>
              <w:jc w:val="center"/>
              <w:rPr>
                <w:rFonts w:eastAsia="Times New Roman"/>
                <w:color w:val="000000"/>
                <w:sz w:val="20"/>
                <w:szCs w:val="20"/>
                <w:lang w:eastAsia="es-CO"/>
              </w:rPr>
            </w:pPr>
          </w:p>
        </w:tc>
        <w:tc>
          <w:tcPr>
            <w:tcW w:w="1600"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Porcentaje</w:t>
            </w:r>
          </w:p>
        </w:tc>
        <w:tc>
          <w:tcPr>
            <w:tcW w:w="1380"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38.32%</w:t>
            </w:r>
          </w:p>
        </w:tc>
        <w:tc>
          <w:tcPr>
            <w:tcW w:w="1401"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41.05%</w:t>
            </w:r>
          </w:p>
        </w:tc>
        <w:tc>
          <w:tcPr>
            <w:tcW w:w="1220"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10.05%</w:t>
            </w:r>
          </w:p>
        </w:tc>
        <w:tc>
          <w:tcPr>
            <w:tcW w:w="1401"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4.53%</w:t>
            </w:r>
          </w:p>
        </w:tc>
        <w:tc>
          <w:tcPr>
            <w:tcW w:w="1437"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6.05%</w:t>
            </w:r>
          </w:p>
        </w:tc>
        <w:tc>
          <w:tcPr>
            <w:tcW w:w="1200"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100%</w:t>
            </w:r>
          </w:p>
        </w:tc>
      </w:tr>
      <w:tr w:rsidR="00151B41" w:rsidRPr="00BD28D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dxa"/>
            <w:noWrap/>
          </w:tcPr>
          <w:p w:rsidR="00151B41" w:rsidRPr="00BD28D0" w:rsidRDefault="00FA64AA" w:rsidP="00EB5AA6">
            <w:pPr>
              <w:jc w:val="center"/>
              <w:rPr>
                <w:rFonts w:eastAsia="Times New Roman"/>
                <w:color w:val="000000"/>
                <w:sz w:val="20"/>
                <w:szCs w:val="20"/>
                <w:lang w:eastAsia="es-CO"/>
              </w:rPr>
            </w:pPr>
            <w:r w:rsidRPr="00BD28D0">
              <w:rPr>
                <w:rFonts w:eastAsia="Times New Roman"/>
                <w:color w:val="000000"/>
                <w:sz w:val="20"/>
                <w:szCs w:val="20"/>
                <w:lang w:eastAsia="es-CO"/>
              </w:rPr>
              <w:t>Resto</w:t>
            </w:r>
          </w:p>
        </w:tc>
        <w:tc>
          <w:tcPr>
            <w:tcW w:w="1600"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Pr>
                <w:rFonts w:eastAsia="Times New Roman"/>
                <w:color w:val="000000"/>
                <w:sz w:val="20"/>
                <w:szCs w:val="20"/>
                <w:lang w:eastAsia="es-CO"/>
              </w:rPr>
              <w:t>A</w:t>
            </w:r>
            <w:r w:rsidRPr="00BD28D0">
              <w:rPr>
                <w:rFonts w:eastAsia="Times New Roman"/>
                <w:color w:val="000000"/>
                <w:sz w:val="20"/>
                <w:szCs w:val="20"/>
                <w:lang w:eastAsia="es-CO"/>
              </w:rPr>
              <w:t>salariados</w:t>
            </w:r>
          </w:p>
        </w:tc>
        <w:tc>
          <w:tcPr>
            <w:tcW w:w="1380"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909,489</w:t>
            </w:r>
          </w:p>
        </w:tc>
        <w:tc>
          <w:tcPr>
            <w:tcW w:w="1401"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333,182</w:t>
            </w:r>
          </w:p>
        </w:tc>
        <w:tc>
          <w:tcPr>
            <w:tcW w:w="1220"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78,686</w:t>
            </w:r>
          </w:p>
        </w:tc>
        <w:tc>
          <w:tcPr>
            <w:tcW w:w="1401"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8,114</w:t>
            </w:r>
          </w:p>
        </w:tc>
        <w:tc>
          <w:tcPr>
            <w:tcW w:w="1437"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6,683</w:t>
            </w:r>
          </w:p>
        </w:tc>
        <w:tc>
          <w:tcPr>
            <w:tcW w:w="1200" w:type="dxa"/>
            <w:noWrap/>
          </w:tcPr>
          <w:p w:rsidR="00151B41" w:rsidRPr="00BD28D0" w:rsidRDefault="00FA64AA" w:rsidP="00EB5A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1,336,153</w:t>
            </w:r>
          </w:p>
        </w:tc>
      </w:tr>
      <w:tr w:rsidR="00151B41" w:rsidRPr="00BD28D0">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dxa"/>
            <w:noWrap/>
          </w:tcPr>
          <w:p w:rsidR="00151B41" w:rsidRPr="00BD28D0" w:rsidRDefault="00365892" w:rsidP="00EB5AA6">
            <w:pPr>
              <w:jc w:val="center"/>
              <w:rPr>
                <w:rFonts w:eastAsia="Times New Roman"/>
                <w:color w:val="000000"/>
                <w:sz w:val="20"/>
                <w:szCs w:val="20"/>
                <w:lang w:eastAsia="es-CO"/>
              </w:rPr>
            </w:pPr>
          </w:p>
        </w:tc>
        <w:tc>
          <w:tcPr>
            <w:tcW w:w="1600"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Porcentaje</w:t>
            </w:r>
          </w:p>
        </w:tc>
        <w:tc>
          <w:tcPr>
            <w:tcW w:w="1380"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68.07%</w:t>
            </w:r>
          </w:p>
        </w:tc>
        <w:tc>
          <w:tcPr>
            <w:tcW w:w="1401"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24.94%</w:t>
            </w:r>
          </w:p>
        </w:tc>
        <w:tc>
          <w:tcPr>
            <w:tcW w:w="1220"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5.89%</w:t>
            </w:r>
          </w:p>
        </w:tc>
        <w:tc>
          <w:tcPr>
            <w:tcW w:w="1401"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0.61%</w:t>
            </w:r>
          </w:p>
        </w:tc>
        <w:tc>
          <w:tcPr>
            <w:tcW w:w="1437"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0.50%</w:t>
            </w:r>
          </w:p>
        </w:tc>
        <w:tc>
          <w:tcPr>
            <w:tcW w:w="1200" w:type="dxa"/>
            <w:noWrap/>
          </w:tcPr>
          <w:p w:rsidR="00151B41" w:rsidRPr="00BD28D0" w:rsidRDefault="00FA64AA" w:rsidP="00EB5A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lang w:eastAsia="es-CO"/>
              </w:rPr>
            </w:pPr>
            <w:r w:rsidRPr="00BD28D0">
              <w:rPr>
                <w:rFonts w:eastAsia="Times New Roman"/>
                <w:color w:val="000000"/>
                <w:sz w:val="20"/>
                <w:szCs w:val="20"/>
                <w:lang w:eastAsia="es-CO"/>
              </w:rPr>
              <w:t>100%</w:t>
            </w:r>
          </w:p>
        </w:tc>
      </w:tr>
    </w:tbl>
    <w:p w:rsidR="00151B41" w:rsidRPr="00EB5AA6" w:rsidRDefault="00FA64AA" w:rsidP="00151B41">
      <w:pPr>
        <w:rPr>
          <w:b/>
          <w:sz w:val="16"/>
          <w:szCs w:val="22"/>
        </w:rPr>
      </w:pPr>
      <w:r w:rsidRPr="00EB5AA6">
        <w:rPr>
          <w:b/>
          <w:sz w:val="16"/>
          <w:szCs w:val="22"/>
        </w:rPr>
        <w:t>Fuente: GEIH-DANE (2014)</w:t>
      </w:r>
    </w:p>
    <w:p w:rsidR="00151B41" w:rsidRPr="00EB5AA6" w:rsidRDefault="00365892" w:rsidP="00151B41">
      <w:pPr>
        <w:rPr>
          <w:b/>
          <w:sz w:val="16"/>
          <w:szCs w:val="22"/>
        </w:rPr>
      </w:pPr>
    </w:p>
    <w:p w:rsidR="00151B41" w:rsidRDefault="00FA64AA" w:rsidP="00151B41">
      <w:pPr>
        <w:jc w:val="both"/>
      </w:pPr>
      <w:r>
        <w:t>Como se puede observar en la tabla anterior, el 93.95% de los asalariados urbanos devenga hasta cuatro salarios mínimos. Sin embargo, se debe resaltar que la mayor fracción de este porcentaje devenga hasta dos salarios mínimos, correspondiente al 79.38% de los asalariados urbanos.</w:t>
      </w:r>
    </w:p>
    <w:p w:rsidR="00151B41" w:rsidRDefault="00365892" w:rsidP="00151B41">
      <w:pPr>
        <w:jc w:val="both"/>
      </w:pPr>
    </w:p>
    <w:p w:rsidR="00151B41" w:rsidRDefault="00FA64AA" w:rsidP="00151B41">
      <w:pPr>
        <w:jc w:val="both"/>
      </w:pPr>
      <w:r>
        <w:t>A partir del microdato de la GEIH del DANE, es posible inferir la distribución de los asalariados no solo en función de sus ingresos sino también del tipo de vivienda en el que habitan. Ver Tabla 4.</w:t>
      </w:r>
    </w:p>
    <w:p w:rsidR="00151B41" w:rsidRDefault="00365892" w:rsidP="00151B41">
      <w:pPr>
        <w:jc w:val="both"/>
      </w:pPr>
    </w:p>
    <w:p w:rsidR="00151B41" w:rsidRDefault="00FA64AA" w:rsidP="00EB5AA6">
      <w:pPr>
        <w:jc w:val="both"/>
        <w:rPr>
          <w:szCs w:val="22"/>
        </w:rPr>
      </w:pPr>
      <w:r w:rsidRPr="00EB5AA6">
        <w:rPr>
          <w:szCs w:val="22"/>
        </w:rPr>
        <w:t>TABLA 4. CONDICIONES HABITACIONALES DE ASALARIADOS GEIH (JUN-2013)</w:t>
      </w:r>
    </w:p>
    <w:p w:rsidR="00EB5AA6" w:rsidRPr="00EB5AA6" w:rsidRDefault="00365892" w:rsidP="00EB5AA6">
      <w:pPr>
        <w:jc w:val="both"/>
        <w:rPr>
          <w:szCs w:val="22"/>
        </w:rPr>
      </w:pPr>
    </w:p>
    <w:tbl>
      <w:tblPr>
        <w:tblStyle w:val="Sombreadomedio1-nfasis11"/>
        <w:tblW w:w="9800" w:type="dxa"/>
        <w:tblLook w:val="04A0" w:firstRow="1" w:lastRow="0" w:firstColumn="1" w:lastColumn="0" w:noHBand="0" w:noVBand="1"/>
      </w:tblPr>
      <w:tblGrid>
        <w:gridCol w:w="1360"/>
        <w:gridCol w:w="1720"/>
        <w:gridCol w:w="1720"/>
        <w:gridCol w:w="1720"/>
        <w:gridCol w:w="1720"/>
        <w:gridCol w:w="1560"/>
      </w:tblGrid>
      <w:tr w:rsidR="00151B41" w:rsidRPr="00AA1735">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60" w:type="dxa"/>
          </w:tcPr>
          <w:p w:rsidR="00151B41" w:rsidRPr="00AA1735" w:rsidRDefault="00FA64AA" w:rsidP="00EB5AA6">
            <w:pPr>
              <w:rPr>
                <w:rFonts w:eastAsia="Times New Roman"/>
                <w:color w:val="auto"/>
                <w:sz w:val="20"/>
                <w:szCs w:val="22"/>
                <w:lang w:eastAsia="es-CO"/>
              </w:rPr>
            </w:pPr>
            <w:r w:rsidRPr="00AA1735">
              <w:rPr>
                <w:rFonts w:eastAsia="Times New Roman"/>
                <w:color w:val="auto"/>
                <w:sz w:val="20"/>
                <w:szCs w:val="22"/>
                <w:lang w:eastAsia="es-CO"/>
              </w:rPr>
              <w:t> </w:t>
            </w:r>
          </w:p>
        </w:tc>
        <w:tc>
          <w:tcPr>
            <w:tcW w:w="1720" w:type="dxa"/>
          </w:tcPr>
          <w:p w:rsidR="00151B41" w:rsidRPr="00AA1735" w:rsidRDefault="00FA64AA" w:rsidP="00EB5AA6">
            <w:pPr>
              <w:cnfStyle w:val="100000000000" w:firstRow="1" w:lastRow="0" w:firstColumn="0" w:lastColumn="0" w:oddVBand="0" w:evenVBand="0" w:oddHBand="0" w:evenHBand="0" w:firstRowFirstColumn="0" w:firstRowLastColumn="0" w:lastRowFirstColumn="0" w:lastRowLastColumn="0"/>
              <w:rPr>
                <w:rFonts w:eastAsia="Times New Roman"/>
                <w:color w:val="FFFFFF"/>
                <w:sz w:val="20"/>
                <w:szCs w:val="22"/>
                <w:lang w:eastAsia="es-CO"/>
              </w:rPr>
            </w:pPr>
            <w:r w:rsidRPr="00AA1735">
              <w:rPr>
                <w:rFonts w:eastAsia="Times New Roman"/>
                <w:color w:val="FFFFFF"/>
                <w:sz w:val="20"/>
                <w:szCs w:val="22"/>
                <w:lang w:eastAsia="es-CO"/>
              </w:rPr>
              <w:t>0 a 1</w:t>
            </w:r>
          </w:p>
        </w:tc>
        <w:tc>
          <w:tcPr>
            <w:tcW w:w="1720" w:type="dxa"/>
          </w:tcPr>
          <w:p w:rsidR="00151B41" w:rsidRPr="00AA1735" w:rsidRDefault="00FA64AA" w:rsidP="00EB5AA6">
            <w:pPr>
              <w:cnfStyle w:val="100000000000" w:firstRow="1" w:lastRow="0" w:firstColumn="0" w:lastColumn="0" w:oddVBand="0" w:evenVBand="0" w:oddHBand="0" w:evenHBand="0" w:firstRowFirstColumn="0" w:firstRowLastColumn="0" w:lastRowFirstColumn="0" w:lastRowLastColumn="0"/>
              <w:rPr>
                <w:rFonts w:eastAsia="Times New Roman"/>
                <w:color w:val="FFFFFF"/>
                <w:sz w:val="20"/>
                <w:szCs w:val="22"/>
                <w:lang w:eastAsia="es-CO"/>
              </w:rPr>
            </w:pPr>
            <w:r w:rsidRPr="00AA1735">
              <w:rPr>
                <w:rFonts w:eastAsia="Times New Roman"/>
                <w:color w:val="FFFFFF"/>
                <w:sz w:val="20"/>
                <w:szCs w:val="22"/>
                <w:lang w:eastAsia="es-CO"/>
              </w:rPr>
              <w:t>0 a 2</w:t>
            </w:r>
          </w:p>
        </w:tc>
        <w:tc>
          <w:tcPr>
            <w:tcW w:w="1720" w:type="dxa"/>
          </w:tcPr>
          <w:p w:rsidR="00151B41" w:rsidRPr="00AA1735" w:rsidRDefault="00FA64AA" w:rsidP="00EB5AA6">
            <w:pPr>
              <w:cnfStyle w:val="100000000000" w:firstRow="1" w:lastRow="0" w:firstColumn="0" w:lastColumn="0" w:oddVBand="0" w:evenVBand="0" w:oddHBand="0" w:evenHBand="0" w:firstRowFirstColumn="0" w:firstRowLastColumn="0" w:lastRowFirstColumn="0" w:lastRowLastColumn="0"/>
              <w:rPr>
                <w:rFonts w:eastAsia="Times New Roman"/>
                <w:color w:val="FFFFFF"/>
                <w:sz w:val="20"/>
                <w:szCs w:val="22"/>
                <w:lang w:eastAsia="es-CO"/>
              </w:rPr>
            </w:pPr>
            <w:r w:rsidRPr="00AA1735">
              <w:rPr>
                <w:rFonts w:eastAsia="Times New Roman"/>
                <w:color w:val="FFFFFF"/>
                <w:sz w:val="20"/>
                <w:szCs w:val="22"/>
                <w:lang w:eastAsia="es-CO"/>
              </w:rPr>
              <w:t>0 a 3</w:t>
            </w:r>
          </w:p>
        </w:tc>
        <w:tc>
          <w:tcPr>
            <w:tcW w:w="1720" w:type="dxa"/>
          </w:tcPr>
          <w:p w:rsidR="00151B41" w:rsidRPr="00AA1735" w:rsidRDefault="00FA64AA" w:rsidP="00EB5AA6">
            <w:pPr>
              <w:cnfStyle w:val="100000000000" w:firstRow="1" w:lastRow="0" w:firstColumn="0" w:lastColumn="0" w:oddVBand="0" w:evenVBand="0" w:oddHBand="0" w:evenHBand="0" w:firstRowFirstColumn="0" w:firstRowLastColumn="0" w:lastRowFirstColumn="0" w:lastRowLastColumn="0"/>
              <w:rPr>
                <w:rFonts w:eastAsia="Times New Roman"/>
                <w:color w:val="FFFFFF"/>
                <w:sz w:val="20"/>
                <w:szCs w:val="22"/>
                <w:lang w:eastAsia="es-CO"/>
              </w:rPr>
            </w:pPr>
            <w:r w:rsidRPr="00AA1735">
              <w:rPr>
                <w:rFonts w:eastAsia="Times New Roman"/>
                <w:color w:val="FFFFFF"/>
                <w:sz w:val="20"/>
                <w:szCs w:val="22"/>
                <w:lang w:eastAsia="es-CO"/>
              </w:rPr>
              <w:t>0 a 4</w:t>
            </w:r>
          </w:p>
        </w:tc>
        <w:tc>
          <w:tcPr>
            <w:tcW w:w="1560" w:type="dxa"/>
          </w:tcPr>
          <w:p w:rsidR="00151B41" w:rsidRPr="00AA1735" w:rsidRDefault="00FA64AA" w:rsidP="00EB5AA6">
            <w:pPr>
              <w:cnfStyle w:val="100000000000" w:firstRow="1" w:lastRow="0" w:firstColumn="0" w:lastColumn="0" w:oddVBand="0" w:evenVBand="0" w:oddHBand="0" w:evenHBand="0" w:firstRowFirstColumn="0" w:firstRowLastColumn="0" w:lastRowFirstColumn="0" w:lastRowLastColumn="0"/>
              <w:rPr>
                <w:rFonts w:eastAsia="Times New Roman"/>
                <w:color w:val="FFFFFF"/>
                <w:sz w:val="20"/>
                <w:szCs w:val="22"/>
                <w:lang w:eastAsia="es-CO"/>
              </w:rPr>
            </w:pPr>
            <w:r w:rsidRPr="00AA1735">
              <w:rPr>
                <w:rFonts w:eastAsia="Times New Roman"/>
                <w:color w:val="FFFFFF"/>
                <w:sz w:val="20"/>
                <w:szCs w:val="22"/>
                <w:lang w:eastAsia="es-CO"/>
              </w:rPr>
              <w:t>4 o mas</w:t>
            </w:r>
          </w:p>
        </w:tc>
      </w:tr>
      <w:tr w:rsidR="00151B41" w:rsidRPr="00AA173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60" w:type="dxa"/>
            <w:noWrap/>
          </w:tcPr>
          <w:p w:rsidR="00151B41" w:rsidRPr="00AA1735" w:rsidRDefault="00FA64AA" w:rsidP="00EB5AA6">
            <w:pPr>
              <w:rPr>
                <w:rFonts w:eastAsia="Times New Roman"/>
                <w:sz w:val="20"/>
                <w:szCs w:val="22"/>
                <w:lang w:eastAsia="es-CO"/>
              </w:rPr>
            </w:pPr>
            <w:r w:rsidRPr="00AA1735">
              <w:rPr>
                <w:rFonts w:eastAsia="Times New Roman"/>
                <w:sz w:val="20"/>
                <w:szCs w:val="22"/>
                <w:lang w:eastAsia="es-CO"/>
              </w:rPr>
              <w:t>Propia-URB</w:t>
            </w:r>
          </w:p>
        </w:tc>
        <w:tc>
          <w:tcPr>
            <w:tcW w:w="172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1,080,168</w:t>
            </w:r>
          </w:p>
        </w:tc>
        <w:tc>
          <w:tcPr>
            <w:tcW w:w="172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2,159,632</w:t>
            </w:r>
          </w:p>
        </w:tc>
        <w:tc>
          <w:tcPr>
            <w:tcW w:w="172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2,448,332</w:t>
            </w:r>
          </w:p>
        </w:tc>
        <w:tc>
          <w:tcPr>
            <w:tcW w:w="172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2,623,333</w:t>
            </w:r>
          </w:p>
        </w:tc>
        <w:tc>
          <w:tcPr>
            <w:tcW w:w="156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278,002</w:t>
            </w:r>
          </w:p>
        </w:tc>
      </w:tr>
      <w:tr w:rsidR="00151B41" w:rsidRPr="00AA1735">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60" w:type="dxa"/>
            <w:noWrap/>
          </w:tcPr>
          <w:p w:rsidR="00151B41" w:rsidRPr="00AA1735" w:rsidRDefault="00FA64AA" w:rsidP="00EB5AA6">
            <w:pPr>
              <w:rPr>
                <w:rFonts w:eastAsia="Times New Roman"/>
                <w:sz w:val="20"/>
                <w:szCs w:val="22"/>
                <w:lang w:eastAsia="es-CO"/>
              </w:rPr>
            </w:pPr>
            <w:r w:rsidRPr="00AA1735">
              <w:rPr>
                <w:rFonts w:eastAsia="Times New Roman"/>
                <w:sz w:val="20"/>
                <w:szCs w:val="22"/>
                <w:lang w:eastAsia="es-CO"/>
              </w:rPr>
              <w:t>Propia-RUR</w:t>
            </w:r>
          </w:p>
        </w:tc>
        <w:tc>
          <w:tcPr>
            <w:tcW w:w="172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271,939</w:t>
            </w:r>
          </w:p>
        </w:tc>
        <w:tc>
          <w:tcPr>
            <w:tcW w:w="172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347,909</w:t>
            </w:r>
          </w:p>
        </w:tc>
        <w:tc>
          <w:tcPr>
            <w:tcW w:w="172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363,847</w:t>
            </w:r>
          </w:p>
        </w:tc>
        <w:tc>
          <w:tcPr>
            <w:tcW w:w="172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370,913</w:t>
            </w:r>
          </w:p>
        </w:tc>
        <w:tc>
          <w:tcPr>
            <w:tcW w:w="156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373,863</w:t>
            </w:r>
          </w:p>
        </w:tc>
      </w:tr>
      <w:tr w:rsidR="00151B41" w:rsidRPr="00AA173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60" w:type="dxa"/>
          </w:tcPr>
          <w:p w:rsidR="00151B41" w:rsidRPr="00AA1735" w:rsidRDefault="00FA64AA" w:rsidP="00EB5AA6">
            <w:pPr>
              <w:rPr>
                <w:rFonts w:eastAsia="Times New Roman"/>
                <w:sz w:val="20"/>
                <w:szCs w:val="22"/>
                <w:lang w:eastAsia="es-CO"/>
              </w:rPr>
            </w:pPr>
            <w:r w:rsidRPr="00AA1735">
              <w:rPr>
                <w:rFonts w:eastAsia="Times New Roman"/>
                <w:sz w:val="20"/>
                <w:szCs w:val="22"/>
                <w:lang w:eastAsia="es-CO"/>
              </w:rPr>
              <w:t> </w:t>
            </w:r>
          </w:p>
        </w:tc>
        <w:tc>
          <w:tcPr>
            <w:tcW w:w="1720" w:type="dxa"/>
            <w:noWrap/>
          </w:tcPr>
          <w:p w:rsidR="00151B41" w:rsidRPr="00AA1735" w:rsidRDefault="00365892"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p>
        </w:tc>
        <w:tc>
          <w:tcPr>
            <w:tcW w:w="1720" w:type="dxa"/>
            <w:noWrap/>
          </w:tcPr>
          <w:p w:rsidR="00151B41" w:rsidRPr="00AA1735" w:rsidRDefault="00365892"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p>
        </w:tc>
        <w:tc>
          <w:tcPr>
            <w:tcW w:w="1720" w:type="dxa"/>
            <w:noWrap/>
          </w:tcPr>
          <w:p w:rsidR="00151B41" w:rsidRPr="00AA1735" w:rsidRDefault="00365892"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p>
        </w:tc>
        <w:tc>
          <w:tcPr>
            <w:tcW w:w="1720" w:type="dxa"/>
            <w:noWrap/>
          </w:tcPr>
          <w:p w:rsidR="00151B41" w:rsidRPr="00AA1735" w:rsidRDefault="00365892"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p>
        </w:tc>
        <w:tc>
          <w:tcPr>
            <w:tcW w:w="1560" w:type="dxa"/>
            <w:noWrap/>
          </w:tcPr>
          <w:p w:rsidR="00151B41" w:rsidRPr="00AA1735" w:rsidRDefault="00365892"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p>
        </w:tc>
      </w:tr>
      <w:tr w:rsidR="00151B41" w:rsidRPr="00AA1735">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60" w:type="dxa"/>
            <w:noWrap/>
          </w:tcPr>
          <w:p w:rsidR="00151B41" w:rsidRPr="00AA1735" w:rsidRDefault="00FA64AA" w:rsidP="00EB5AA6">
            <w:pPr>
              <w:rPr>
                <w:rFonts w:eastAsia="Times New Roman"/>
                <w:sz w:val="20"/>
                <w:szCs w:val="22"/>
                <w:lang w:eastAsia="es-CO"/>
              </w:rPr>
            </w:pPr>
            <w:r w:rsidRPr="00AA1735">
              <w:rPr>
                <w:rFonts w:eastAsia="Times New Roman"/>
                <w:sz w:val="20"/>
                <w:szCs w:val="22"/>
                <w:lang w:eastAsia="es-CO"/>
              </w:rPr>
              <w:t>Arr-URB</w:t>
            </w:r>
          </w:p>
        </w:tc>
        <w:tc>
          <w:tcPr>
            <w:tcW w:w="172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1,238,102</w:t>
            </w:r>
          </w:p>
        </w:tc>
        <w:tc>
          <w:tcPr>
            <w:tcW w:w="172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2,719,166</w:t>
            </w:r>
          </w:p>
        </w:tc>
        <w:tc>
          <w:tcPr>
            <w:tcW w:w="172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3,066,845</w:t>
            </w:r>
          </w:p>
        </w:tc>
        <w:tc>
          <w:tcPr>
            <w:tcW w:w="172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3,199,996</w:t>
            </w:r>
          </w:p>
        </w:tc>
        <w:tc>
          <w:tcPr>
            <w:tcW w:w="1560" w:type="dxa"/>
            <w:noWrap/>
          </w:tcPr>
          <w:p w:rsidR="00151B41" w:rsidRPr="00AA1735" w:rsidRDefault="00FA64AA" w:rsidP="00EB5AA6">
            <w:pP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133,278</w:t>
            </w:r>
          </w:p>
        </w:tc>
      </w:tr>
      <w:tr w:rsidR="00151B41" w:rsidRPr="00AA173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60" w:type="dxa"/>
            <w:noWrap/>
          </w:tcPr>
          <w:p w:rsidR="00151B41" w:rsidRPr="00AA1735" w:rsidRDefault="00FA64AA" w:rsidP="00EB5AA6">
            <w:pPr>
              <w:rPr>
                <w:rFonts w:eastAsia="Times New Roman"/>
                <w:sz w:val="20"/>
                <w:szCs w:val="22"/>
                <w:lang w:eastAsia="es-CO"/>
              </w:rPr>
            </w:pPr>
            <w:r w:rsidRPr="00AA1735">
              <w:rPr>
                <w:rFonts w:eastAsia="Times New Roman"/>
                <w:sz w:val="20"/>
                <w:szCs w:val="22"/>
                <w:lang w:eastAsia="es-CO"/>
              </w:rPr>
              <w:t>Arr-RUR</w:t>
            </w:r>
          </w:p>
        </w:tc>
        <w:tc>
          <w:tcPr>
            <w:tcW w:w="172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66,575</w:t>
            </w:r>
          </w:p>
        </w:tc>
        <w:tc>
          <w:tcPr>
            <w:tcW w:w="172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96,962</w:t>
            </w:r>
          </w:p>
        </w:tc>
        <w:tc>
          <w:tcPr>
            <w:tcW w:w="172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131,567</w:t>
            </w:r>
          </w:p>
        </w:tc>
        <w:tc>
          <w:tcPr>
            <w:tcW w:w="172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131,567</w:t>
            </w:r>
          </w:p>
        </w:tc>
        <w:tc>
          <w:tcPr>
            <w:tcW w:w="1560" w:type="dxa"/>
            <w:noWrap/>
          </w:tcPr>
          <w:p w:rsidR="00151B41" w:rsidRPr="00AA1735" w:rsidRDefault="00FA64AA" w:rsidP="00EB5AA6">
            <w:pP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2"/>
                <w:lang w:eastAsia="es-CO"/>
              </w:rPr>
            </w:pPr>
            <w:r w:rsidRPr="00AA1735">
              <w:rPr>
                <w:rFonts w:eastAsia="Times New Roman"/>
                <w:color w:val="000000"/>
                <w:sz w:val="20"/>
                <w:szCs w:val="22"/>
                <w:lang w:eastAsia="es-CO"/>
              </w:rPr>
              <w:t>1,244</w:t>
            </w:r>
          </w:p>
        </w:tc>
      </w:tr>
    </w:tbl>
    <w:p w:rsidR="00151B41" w:rsidRPr="00EB5AA6" w:rsidRDefault="00FA64AA" w:rsidP="00EB5AA6">
      <w:pPr>
        <w:rPr>
          <w:b/>
          <w:sz w:val="16"/>
          <w:szCs w:val="22"/>
        </w:rPr>
      </w:pPr>
      <w:r w:rsidRPr="00EB5AA6">
        <w:rPr>
          <w:b/>
          <w:sz w:val="16"/>
          <w:szCs w:val="22"/>
        </w:rPr>
        <w:t>Fuente: GEIH-DANE (2014)</w:t>
      </w:r>
    </w:p>
    <w:p w:rsidR="00151B41" w:rsidRDefault="00365892" w:rsidP="00151B41">
      <w:pPr>
        <w:jc w:val="both"/>
      </w:pPr>
    </w:p>
    <w:p w:rsidR="00151B41" w:rsidRDefault="00FA64AA" w:rsidP="00151B41">
      <w:pPr>
        <w:jc w:val="both"/>
      </w:pPr>
      <w:r>
        <w:t>Como se observa en la Tabla 4,  3.2 millones de asalariados devengan hasta cuatro salarios mínimos legales y viven en arriendo, lo cual constituye la masa crítica de beneficiarios del presente proyecto de ley.</w:t>
      </w:r>
    </w:p>
    <w:p w:rsidR="00EB5AA6" w:rsidRDefault="00365892" w:rsidP="00151B41">
      <w:pPr>
        <w:jc w:val="both"/>
      </w:pPr>
    </w:p>
    <w:p w:rsidR="00151B41" w:rsidRDefault="00365892" w:rsidP="00DE0156">
      <w:pPr>
        <w:autoSpaceDE w:val="0"/>
        <w:autoSpaceDN w:val="0"/>
        <w:adjustRightInd w:val="0"/>
        <w:rPr>
          <w:b/>
          <w:szCs w:val="22"/>
        </w:rPr>
      </w:pPr>
    </w:p>
    <w:p w:rsidR="00656D1F" w:rsidRDefault="00656D1F" w:rsidP="00DE0156">
      <w:pPr>
        <w:autoSpaceDE w:val="0"/>
        <w:autoSpaceDN w:val="0"/>
        <w:adjustRightInd w:val="0"/>
        <w:rPr>
          <w:b/>
          <w:szCs w:val="22"/>
        </w:rPr>
      </w:pPr>
    </w:p>
    <w:p w:rsidR="00616D1D" w:rsidRPr="00E43453" w:rsidRDefault="00FA64AA" w:rsidP="00DE0156">
      <w:pPr>
        <w:autoSpaceDE w:val="0"/>
        <w:autoSpaceDN w:val="0"/>
        <w:adjustRightInd w:val="0"/>
        <w:rPr>
          <w:b/>
          <w:szCs w:val="22"/>
        </w:rPr>
      </w:pPr>
      <w:r>
        <w:rPr>
          <w:b/>
          <w:szCs w:val="22"/>
        </w:rPr>
        <w:lastRenderedPageBreak/>
        <w:t xml:space="preserve">ESTIMULO </w:t>
      </w:r>
      <w:r w:rsidRPr="00E43453">
        <w:rPr>
          <w:b/>
          <w:szCs w:val="22"/>
        </w:rPr>
        <w:t>A LA ADQUISICIÓN DE VIVIENDA PARA LA BASE DE LA PIRÁMIDE</w:t>
      </w:r>
    </w:p>
    <w:p w:rsidR="00616D1D" w:rsidRPr="00E43453" w:rsidRDefault="00365892" w:rsidP="00616D1D">
      <w:pPr>
        <w:rPr>
          <w:szCs w:val="22"/>
        </w:rPr>
      </w:pPr>
    </w:p>
    <w:p w:rsidR="00616D1D" w:rsidRDefault="00FA64AA" w:rsidP="00616D1D">
      <w:pPr>
        <w:jc w:val="both"/>
        <w:rPr>
          <w:szCs w:val="22"/>
        </w:rPr>
      </w:pPr>
      <w:r>
        <w:rPr>
          <w:szCs w:val="22"/>
        </w:rPr>
        <w:t>La tabla 5 describe las estadísticas de las cajas de compensación familiar</w:t>
      </w:r>
      <w:r w:rsidRPr="00E43453">
        <w:rPr>
          <w:rStyle w:val="Refdenotaalpie"/>
          <w:szCs w:val="22"/>
        </w:rPr>
        <w:footnoteReference w:id="6"/>
      </w:r>
      <w:r>
        <w:rPr>
          <w:szCs w:val="22"/>
        </w:rPr>
        <w:t xml:space="preserve">  en términos de afiliados.</w:t>
      </w:r>
    </w:p>
    <w:p w:rsidR="007D698E" w:rsidRPr="00E43453" w:rsidRDefault="00365892" w:rsidP="00616D1D">
      <w:pPr>
        <w:jc w:val="both"/>
        <w:rPr>
          <w:szCs w:val="22"/>
        </w:rPr>
      </w:pPr>
    </w:p>
    <w:p w:rsidR="00616D1D" w:rsidRDefault="00FA64AA" w:rsidP="00616D1D">
      <w:pPr>
        <w:jc w:val="both"/>
        <w:rPr>
          <w:szCs w:val="22"/>
        </w:rPr>
      </w:pPr>
      <w:r>
        <w:rPr>
          <w:szCs w:val="22"/>
        </w:rPr>
        <w:t xml:space="preserve">TABLA 5. AFILIACIÓN POR INGRESOS EN CAJAS DE COMPENSACIÓN FAMILIAR </w:t>
      </w:r>
    </w:p>
    <w:p w:rsidR="007D698E" w:rsidRPr="00E43453" w:rsidRDefault="00365892" w:rsidP="00616D1D">
      <w:pPr>
        <w:jc w:val="both"/>
        <w:rPr>
          <w:szCs w:val="22"/>
        </w:rPr>
      </w:pPr>
    </w:p>
    <w:tbl>
      <w:tblPr>
        <w:tblW w:w="6334" w:type="dxa"/>
        <w:jc w:val="center"/>
        <w:tblInd w:w="53" w:type="dxa"/>
        <w:tblCellMar>
          <w:left w:w="70" w:type="dxa"/>
          <w:right w:w="70" w:type="dxa"/>
        </w:tblCellMar>
        <w:tblLook w:val="04A0" w:firstRow="1" w:lastRow="0" w:firstColumn="1" w:lastColumn="0" w:noHBand="0" w:noVBand="1"/>
      </w:tblPr>
      <w:tblGrid>
        <w:gridCol w:w="3935"/>
        <w:gridCol w:w="2399"/>
      </w:tblGrid>
      <w:tr w:rsidR="00616D1D" w:rsidRPr="00E43453">
        <w:trPr>
          <w:trHeight w:val="298"/>
          <w:jc w:val="center"/>
        </w:trPr>
        <w:tc>
          <w:tcPr>
            <w:tcW w:w="393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616D1D" w:rsidRPr="00E43453" w:rsidRDefault="00FA64AA" w:rsidP="00616D1D">
            <w:pPr>
              <w:jc w:val="center"/>
              <w:rPr>
                <w:rFonts w:eastAsia="Times New Roman"/>
                <w:szCs w:val="22"/>
                <w:lang w:eastAsia="es-CO"/>
              </w:rPr>
            </w:pPr>
            <w:r w:rsidRPr="00E43453">
              <w:rPr>
                <w:rFonts w:eastAsia="Times New Roman"/>
                <w:szCs w:val="22"/>
                <w:lang w:eastAsia="es-CO"/>
              </w:rPr>
              <w:t>TAMAÑO</w:t>
            </w:r>
          </w:p>
        </w:tc>
        <w:tc>
          <w:tcPr>
            <w:tcW w:w="2399" w:type="dxa"/>
            <w:tcBorders>
              <w:top w:val="single" w:sz="4" w:space="0" w:color="auto"/>
              <w:left w:val="nil"/>
              <w:bottom w:val="single" w:sz="4" w:space="0" w:color="auto"/>
              <w:right w:val="single" w:sz="4" w:space="0" w:color="auto"/>
            </w:tcBorders>
            <w:shd w:val="clear" w:color="000000" w:fill="FFFFFF"/>
            <w:noWrap/>
            <w:vAlign w:val="center"/>
          </w:tcPr>
          <w:p w:rsidR="00616D1D" w:rsidRPr="00E43453" w:rsidRDefault="00FA64AA" w:rsidP="00616D1D">
            <w:pPr>
              <w:jc w:val="center"/>
              <w:rPr>
                <w:rFonts w:eastAsia="Times New Roman"/>
                <w:szCs w:val="22"/>
                <w:lang w:eastAsia="es-CO"/>
              </w:rPr>
            </w:pPr>
            <w:r w:rsidRPr="00E43453">
              <w:rPr>
                <w:rFonts w:eastAsia="Times New Roman"/>
                <w:szCs w:val="22"/>
                <w:lang w:eastAsia="es-CO"/>
              </w:rPr>
              <w:t>TOTAL</w:t>
            </w:r>
          </w:p>
        </w:tc>
      </w:tr>
      <w:tr w:rsidR="00616D1D" w:rsidRPr="00E43453">
        <w:trPr>
          <w:trHeight w:val="298"/>
          <w:jc w:val="center"/>
        </w:trPr>
        <w:tc>
          <w:tcPr>
            <w:tcW w:w="3935" w:type="dxa"/>
            <w:tcBorders>
              <w:top w:val="nil"/>
              <w:left w:val="single" w:sz="4" w:space="0" w:color="auto"/>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Hasta 1 salario mínimo</w:t>
            </w:r>
          </w:p>
        </w:tc>
        <w:tc>
          <w:tcPr>
            <w:tcW w:w="2399" w:type="dxa"/>
            <w:tcBorders>
              <w:top w:val="nil"/>
              <w:left w:val="nil"/>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 xml:space="preserve"> 2.474.117 </w:t>
            </w:r>
          </w:p>
        </w:tc>
      </w:tr>
      <w:tr w:rsidR="00616D1D" w:rsidRPr="00E43453">
        <w:trPr>
          <w:trHeight w:val="298"/>
          <w:jc w:val="center"/>
        </w:trPr>
        <w:tc>
          <w:tcPr>
            <w:tcW w:w="3935" w:type="dxa"/>
            <w:tcBorders>
              <w:top w:val="nil"/>
              <w:left w:val="single" w:sz="4" w:space="0" w:color="auto"/>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Más de 1 hasta 2 S.M.L.</w:t>
            </w:r>
            <w:r>
              <w:rPr>
                <w:rFonts w:eastAsia="Times New Roman"/>
                <w:szCs w:val="22"/>
                <w:lang w:eastAsia="es-CO"/>
              </w:rPr>
              <w:t>M.</w:t>
            </w:r>
            <w:r w:rsidRPr="00E43453">
              <w:rPr>
                <w:rFonts w:eastAsia="Times New Roman"/>
                <w:szCs w:val="22"/>
                <w:lang w:eastAsia="es-CO"/>
              </w:rPr>
              <w:t>V</w:t>
            </w:r>
          </w:p>
        </w:tc>
        <w:tc>
          <w:tcPr>
            <w:tcW w:w="2399" w:type="dxa"/>
            <w:tcBorders>
              <w:top w:val="nil"/>
              <w:left w:val="nil"/>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 xml:space="preserve"> 2.339.911 </w:t>
            </w:r>
          </w:p>
        </w:tc>
      </w:tr>
      <w:tr w:rsidR="00616D1D" w:rsidRPr="00E43453">
        <w:trPr>
          <w:trHeight w:val="298"/>
          <w:jc w:val="center"/>
        </w:trPr>
        <w:tc>
          <w:tcPr>
            <w:tcW w:w="3935" w:type="dxa"/>
            <w:tcBorders>
              <w:top w:val="nil"/>
              <w:left w:val="single" w:sz="4" w:space="0" w:color="auto"/>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Más de 2 hasta 3 S.M.L.</w:t>
            </w:r>
            <w:r>
              <w:rPr>
                <w:rFonts w:eastAsia="Times New Roman"/>
                <w:szCs w:val="22"/>
                <w:lang w:eastAsia="es-CO"/>
              </w:rPr>
              <w:t>M.</w:t>
            </w:r>
            <w:r w:rsidRPr="00E43453">
              <w:rPr>
                <w:rFonts w:eastAsia="Times New Roman"/>
                <w:szCs w:val="22"/>
                <w:lang w:eastAsia="es-CO"/>
              </w:rPr>
              <w:t>V</w:t>
            </w:r>
          </w:p>
        </w:tc>
        <w:tc>
          <w:tcPr>
            <w:tcW w:w="2399" w:type="dxa"/>
            <w:tcBorders>
              <w:top w:val="nil"/>
              <w:left w:val="nil"/>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 xml:space="preserve"> 770.049 </w:t>
            </w:r>
          </w:p>
        </w:tc>
      </w:tr>
      <w:tr w:rsidR="00616D1D" w:rsidRPr="00E43453">
        <w:trPr>
          <w:trHeight w:val="298"/>
          <w:jc w:val="center"/>
        </w:trPr>
        <w:tc>
          <w:tcPr>
            <w:tcW w:w="3935" w:type="dxa"/>
            <w:tcBorders>
              <w:top w:val="nil"/>
              <w:left w:val="single" w:sz="4" w:space="0" w:color="auto"/>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Más de 3 hasta 4 S.M.L.</w:t>
            </w:r>
            <w:r>
              <w:rPr>
                <w:rFonts w:eastAsia="Times New Roman"/>
                <w:szCs w:val="22"/>
                <w:lang w:eastAsia="es-CO"/>
              </w:rPr>
              <w:t>M.</w:t>
            </w:r>
            <w:r w:rsidRPr="00E43453">
              <w:rPr>
                <w:rFonts w:eastAsia="Times New Roman"/>
                <w:szCs w:val="22"/>
                <w:lang w:eastAsia="es-CO"/>
              </w:rPr>
              <w:t>V.</w:t>
            </w:r>
          </w:p>
        </w:tc>
        <w:tc>
          <w:tcPr>
            <w:tcW w:w="2399" w:type="dxa"/>
            <w:tcBorders>
              <w:top w:val="nil"/>
              <w:left w:val="nil"/>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 xml:space="preserve"> 389.015 </w:t>
            </w:r>
          </w:p>
        </w:tc>
      </w:tr>
      <w:tr w:rsidR="00616D1D" w:rsidRPr="00E43453">
        <w:trPr>
          <w:trHeight w:val="298"/>
          <w:jc w:val="center"/>
        </w:trPr>
        <w:tc>
          <w:tcPr>
            <w:tcW w:w="3935" w:type="dxa"/>
            <w:tcBorders>
              <w:top w:val="nil"/>
              <w:left w:val="single" w:sz="4" w:space="0" w:color="auto"/>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Más de 4 S.M.L.</w:t>
            </w:r>
            <w:r>
              <w:rPr>
                <w:rFonts w:eastAsia="Times New Roman"/>
                <w:szCs w:val="22"/>
                <w:lang w:eastAsia="es-CO"/>
              </w:rPr>
              <w:t>M.</w:t>
            </w:r>
            <w:r w:rsidRPr="00E43453">
              <w:rPr>
                <w:rFonts w:eastAsia="Times New Roman"/>
                <w:szCs w:val="22"/>
                <w:lang w:eastAsia="es-CO"/>
              </w:rPr>
              <w:t>V.</w:t>
            </w:r>
          </w:p>
        </w:tc>
        <w:tc>
          <w:tcPr>
            <w:tcW w:w="2399" w:type="dxa"/>
            <w:tcBorders>
              <w:top w:val="nil"/>
              <w:left w:val="nil"/>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szCs w:val="22"/>
                <w:lang w:eastAsia="es-CO"/>
              </w:rPr>
            </w:pPr>
            <w:r w:rsidRPr="00E43453">
              <w:rPr>
                <w:rFonts w:eastAsia="Times New Roman"/>
                <w:szCs w:val="22"/>
                <w:lang w:eastAsia="es-CO"/>
              </w:rPr>
              <w:t xml:space="preserve"> 725.383 </w:t>
            </w:r>
          </w:p>
        </w:tc>
      </w:tr>
      <w:tr w:rsidR="00616D1D" w:rsidRPr="00E43453">
        <w:trPr>
          <w:trHeight w:val="298"/>
          <w:jc w:val="center"/>
        </w:trPr>
        <w:tc>
          <w:tcPr>
            <w:tcW w:w="3935" w:type="dxa"/>
            <w:tcBorders>
              <w:top w:val="nil"/>
              <w:left w:val="single" w:sz="4" w:space="0" w:color="auto"/>
              <w:bottom w:val="single" w:sz="4" w:space="0" w:color="auto"/>
              <w:right w:val="single" w:sz="4" w:space="0" w:color="auto"/>
            </w:tcBorders>
            <w:shd w:val="clear" w:color="000000" w:fill="FFFFFF"/>
            <w:noWrap/>
            <w:vAlign w:val="center"/>
          </w:tcPr>
          <w:p w:rsidR="00616D1D" w:rsidRPr="00E43453" w:rsidRDefault="00FA64AA" w:rsidP="00616D1D">
            <w:pPr>
              <w:jc w:val="center"/>
              <w:rPr>
                <w:rFonts w:eastAsia="Times New Roman"/>
                <w:b/>
                <w:bCs/>
                <w:szCs w:val="22"/>
                <w:lang w:eastAsia="es-CO"/>
              </w:rPr>
            </w:pPr>
            <w:r w:rsidRPr="00E43453">
              <w:rPr>
                <w:rFonts w:eastAsia="Times New Roman"/>
                <w:b/>
                <w:bCs/>
                <w:szCs w:val="22"/>
                <w:lang w:eastAsia="es-CO"/>
              </w:rPr>
              <w:t>Total</w:t>
            </w:r>
          </w:p>
        </w:tc>
        <w:tc>
          <w:tcPr>
            <w:tcW w:w="2399" w:type="dxa"/>
            <w:tcBorders>
              <w:top w:val="nil"/>
              <w:left w:val="nil"/>
              <w:bottom w:val="single" w:sz="4" w:space="0" w:color="auto"/>
              <w:right w:val="single" w:sz="4" w:space="0" w:color="auto"/>
            </w:tcBorders>
            <w:shd w:val="clear" w:color="000000" w:fill="FFFFFF"/>
            <w:noWrap/>
            <w:vAlign w:val="center"/>
          </w:tcPr>
          <w:p w:rsidR="00616D1D" w:rsidRPr="00E43453" w:rsidRDefault="00FA64AA" w:rsidP="00616D1D">
            <w:pPr>
              <w:rPr>
                <w:rFonts w:eastAsia="Times New Roman"/>
                <w:b/>
                <w:bCs/>
                <w:szCs w:val="22"/>
                <w:lang w:eastAsia="es-CO"/>
              </w:rPr>
            </w:pPr>
            <w:r w:rsidRPr="00E43453">
              <w:rPr>
                <w:rFonts w:eastAsia="Times New Roman"/>
                <w:b/>
                <w:bCs/>
                <w:szCs w:val="22"/>
                <w:lang w:eastAsia="es-CO"/>
              </w:rPr>
              <w:t xml:space="preserve"> 6.698.475 </w:t>
            </w:r>
          </w:p>
        </w:tc>
      </w:tr>
    </w:tbl>
    <w:p w:rsidR="00616D1D" w:rsidRPr="007D698E" w:rsidRDefault="00FA64AA" w:rsidP="007D698E">
      <w:pPr>
        <w:jc w:val="center"/>
        <w:rPr>
          <w:b/>
          <w:sz w:val="16"/>
          <w:szCs w:val="22"/>
        </w:rPr>
      </w:pPr>
      <w:r w:rsidRPr="007D698E">
        <w:rPr>
          <w:b/>
          <w:sz w:val="16"/>
          <w:szCs w:val="22"/>
        </w:rPr>
        <w:t>Fuente: Superintendencia de Subsidio Familiar</w:t>
      </w:r>
    </w:p>
    <w:p w:rsidR="007D698E" w:rsidRPr="007D698E" w:rsidRDefault="00365892" w:rsidP="007D698E">
      <w:pPr>
        <w:jc w:val="center"/>
        <w:rPr>
          <w:b/>
          <w:sz w:val="16"/>
          <w:szCs w:val="22"/>
        </w:rPr>
      </w:pPr>
    </w:p>
    <w:p w:rsidR="00616D1D" w:rsidRDefault="00FA64AA" w:rsidP="00616D1D">
      <w:pPr>
        <w:jc w:val="both"/>
        <w:rPr>
          <w:szCs w:val="22"/>
        </w:rPr>
      </w:pPr>
      <w:r>
        <w:rPr>
          <w:szCs w:val="22"/>
        </w:rPr>
        <w:t>El universo de población cotizante a las cajas de compensación familiar que está debajo de los 4 SMLM</w:t>
      </w:r>
      <w:r w:rsidRPr="00E43453">
        <w:rPr>
          <w:szCs w:val="22"/>
        </w:rPr>
        <w:t>V</w:t>
      </w:r>
      <w:r>
        <w:rPr>
          <w:szCs w:val="22"/>
        </w:rPr>
        <w:t>,</w:t>
      </w:r>
      <w:r w:rsidRPr="00E43453">
        <w:rPr>
          <w:szCs w:val="22"/>
        </w:rPr>
        <w:t xml:space="preserve"> es aproximadamente </w:t>
      </w:r>
      <w:r>
        <w:rPr>
          <w:szCs w:val="22"/>
        </w:rPr>
        <w:t xml:space="preserve">de 6 millones de habitantes. </w:t>
      </w:r>
    </w:p>
    <w:p w:rsidR="00D04DE5" w:rsidRPr="00E43453" w:rsidRDefault="00365892" w:rsidP="00616D1D">
      <w:pPr>
        <w:jc w:val="both"/>
        <w:rPr>
          <w:szCs w:val="22"/>
        </w:rPr>
      </w:pPr>
    </w:p>
    <w:p w:rsidR="00616D1D" w:rsidRPr="00E43453" w:rsidRDefault="00FA64AA" w:rsidP="00616D1D">
      <w:pPr>
        <w:jc w:val="both"/>
        <w:rPr>
          <w:szCs w:val="22"/>
        </w:rPr>
      </w:pPr>
      <w:r w:rsidRPr="00E43453">
        <w:rPr>
          <w:szCs w:val="22"/>
        </w:rPr>
        <w:t>Gran parte del 35% de las personas que pagan arriendo</w:t>
      </w:r>
      <w:r>
        <w:rPr>
          <w:szCs w:val="22"/>
        </w:rPr>
        <w:t xml:space="preserve"> (ECV2013)</w:t>
      </w:r>
      <w:r w:rsidRPr="00E43453">
        <w:rPr>
          <w:szCs w:val="22"/>
        </w:rPr>
        <w:t xml:space="preserve"> son de estos segmentos de ingresos. No es de olvidar que las familias cuyo único ingreso es un salario mínimo se encuentran por debajo de la línea de pobreza, además de estar lejos del acceso a un programa de vivienda por las dificultades ya expresadas de acceso al sistema financiero y una capacidad de ahorro que le proporcione la cuota inicial necesaria para ir pagando su vivienda.</w:t>
      </w:r>
    </w:p>
    <w:p w:rsidR="00616D1D" w:rsidRPr="00E43453" w:rsidRDefault="00365892" w:rsidP="00616D1D">
      <w:pPr>
        <w:jc w:val="both"/>
        <w:rPr>
          <w:szCs w:val="22"/>
        </w:rPr>
      </w:pPr>
    </w:p>
    <w:p w:rsidR="00F01EC4" w:rsidRDefault="00365892" w:rsidP="00DE0156">
      <w:pPr>
        <w:autoSpaceDE w:val="0"/>
        <w:autoSpaceDN w:val="0"/>
        <w:adjustRightInd w:val="0"/>
        <w:rPr>
          <w:b/>
          <w:szCs w:val="22"/>
        </w:rPr>
      </w:pPr>
    </w:p>
    <w:p w:rsidR="00616D1D" w:rsidRPr="00E43453" w:rsidRDefault="00FA64AA" w:rsidP="00DE0156">
      <w:pPr>
        <w:autoSpaceDE w:val="0"/>
        <w:autoSpaceDN w:val="0"/>
        <w:adjustRightInd w:val="0"/>
        <w:rPr>
          <w:b/>
          <w:szCs w:val="22"/>
        </w:rPr>
      </w:pPr>
      <w:r w:rsidRPr="00E43453">
        <w:rPr>
          <w:b/>
          <w:szCs w:val="22"/>
        </w:rPr>
        <w:t xml:space="preserve">LA NECESIDAD DE UNA PRIMA DE VIVIENDA </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Las cifras de la Superintendencia Financiera de corte mayo 2014, muestran el comportamiento de las tasas de interés de los últimos 4 años para vivienda.</w:t>
      </w:r>
    </w:p>
    <w:p w:rsidR="00616D1D" w:rsidRDefault="00365892" w:rsidP="00616D1D">
      <w:pPr>
        <w:jc w:val="both"/>
        <w:rPr>
          <w:szCs w:val="22"/>
        </w:rPr>
      </w:pPr>
    </w:p>
    <w:p w:rsidR="00D04DE5" w:rsidRDefault="00365892" w:rsidP="00616D1D">
      <w:pPr>
        <w:jc w:val="both"/>
        <w:rPr>
          <w:szCs w:val="22"/>
        </w:rPr>
      </w:pPr>
    </w:p>
    <w:p w:rsidR="00656D1F" w:rsidRDefault="00656D1F" w:rsidP="00D04DE5">
      <w:pPr>
        <w:jc w:val="center"/>
        <w:rPr>
          <w:b/>
          <w:szCs w:val="22"/>
        </w:rPr>
      </w:pPr>
    </w:p>
    <w:p w:rsidR="00656D1F" w:rsidRDefault="00656D1F" w:rsidP="00D04DE5">
      <w:pPr>
        <w:jc w:val="center"/>
        <w:rPr>
          <w:b/>
          <w:szCs w:val="22"/>
        </w:rPr>
      </w:pPr>
    </w:p>
    <w:p w:rsidR="00656D1F" w:rsidRDefault="00656D1F" w:rsidP="00D04DE5">
      <w:pPr>
        <w:jc w:val="center"/>
        <w:rPr>
          <w:b/>
          <w:szCs w:val="22"/>
        </w:rPr>
      </w:pPr>
    </w:p>
    <w:p w:rsidR="00656D1F" w:rsidRDefault="00656D1F" w:rsidP="00D04DE5">
      <w:pPr>
        <w:jc w:val="center"/>
        <w:rPr>
          <w:b/>
          <w:szCs w:val="22"/>
        </w:rPr>
      </w:pPr>
    </w:p>
    <w:p w:rsidR="00656D1F" w:rsidRDefault="00656D1F" w:rsidP="00D04DE5">
      <w:pPr>
        <w:jc w:val="center"/>
        <w:rPr>
          <w:b/>
          <w:szCs w:val="22"/>
        </w:rPr>
      </w:pPr>
    </w:p>
    <w:p w:rsidR="00656D1F" w:rsidRDefault="00656D1F" w:rsidP="00D04DE5">
      <w:pPr>
        <w:jc w:val="center"/>
        <w:rPr>
          <w:b/>
          <w:szCs w:val="22"/>
        </w:rPr>
      </w:pPr>
    </w:p>
    <w:p w:rsidR="00D04DE5" w:rsidRPr="00CA20DA" w:rsidRDefault="00FA64AA" w:rsidP="00D04DE5">
      <w:pPr>
        <w:jc w:val="center"/>
        <w:rPr>
          <w:b/>
          <w:szCs w:val="22"/>
        </w:rPr>
      </w:pPr>
      <w:r w:rsidRPr="00CA20DA">
        <w:rPr>
          <w:b/>
          <w:szCs w:val="22"/>
        </w:rPr>
        <w:lastRenderedPageBreak/>
        <w:t>GRAFICO 4. EVOLUCIÓN SEMANAL DE LAS TASAS DE INTERÉS DE LA MODALIDAD DE VIVIENDA (EN%)</w:t>
      </w:r>
    </w:p>
    <w:p w:rsidR="00616D1D" w:rsidRPr="00E43453" w:rsidRDefault="00FA64AA" w:rsidP="00616D1D">
      <w:pPr>
        <w:autoSpaceDE w:val="0"/>
        <w:autoSpaceDN w:val="0"/>
        <w:adjustRightInd w:val="0"/>
        <w:jc w:val="center"/>
        <w:rPr>
          <w:szCs w:val="22"/>
        </w:rPr>
      </w:pPr>
      <w:r w:rsidRPr="00E43453">
        <w:rPr>
          <w:noProof/>
          <w:szCs w:val="22"/>
          <w:lang w:eastAsia="es-CO"/>
        </w:rPr>
        <w:drawing>
          <wp:inline distT="0" distB="0" distL="0" distR="0">
            <wp:extent cx="4210050" cy="2371725"/>
            <wp:effectExtent l="19050" t="0" r="0" b="0"/>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l="13898" t="23900" r="19158" b="25973"/>
                    <a:stretch>
                      <a:fillRect/>
                    </a:stretch>
                  </pic:blipFill>
                  <pic:spPr bwMode="auto">
                    <a:xfrm>
                      <a:off x="0" y="0"/>
                      <a:ext cx="4210050" cy="2371725"/>
                    </a:xfrm>
                    <a:prstGeom prst="rect">
                      <a:avLst/>
                    </a:prstGeom>
                    <a:noFill/>
                    <a:ln w="9525">
                      <a:noFill/>
                      <a:miter lim="800000"/>
                      <a:headEnd/>
                      <a:tailEnd/>
                    </a:ln>
                  </pic:spPr>
                </pic:pic>
              </a:graphicData>
            </a:graphic>
          </wp:inline>
        </w:drawing>
      </w:r>
    </w:p>
    <w:p w:rsidR="00616D1D" w:rsidRPr="00CA20DA" w:rsidRDefault="00FA64AA" w:rsidP="00CA20DA">
      <w:pPr>
        <w:jc w:val="center"/>
        <w:rPr>
          <w:b/>
          <w:sz w:val="16"/>
          <w:szCs w:val="22"/>
        </w:rPr>
      </w:pPr>
      <w:r w:rsidRPr="00CA20DA">
        <w:rPr>
          <w:b/>
          <w:sz w:val="16"/>
          <w:szCs w:val="22"/>
        </w:rPr>
        <w:t>Fuente: SUPERFINANCIERA</w:t>
      </w:r>
    </w:p>
    <w:p w:rsidR="00D04DE5" w:rsidRPr="00CA20DA" w:rsidRDefault="00365892" w:rsidP="00CA20DA">
      <w:pPr>
        <w:jc w:val="center"/>
        <w:rPr>
          <w:b/>
          <w:sz w:val="16"/>
          <w:szCs w:val="22"/>
        </w:rPr>
      </w:pPr>
    </w:p>
    <w:p w:rsidR="00616D1D" w:rsidRPr="00E43453" w:rsidRDefault="00FA64AA" w:rsidP="00616D1D">
      <w:pPr>
        <w:jc w:val="both"/>
        <w:rPr>
          <w:szCs w:val="22"/>
        </w:rPr>
      </w:pPr>
      <w:r>
        <w:rPr>
          <w:szCs w:val="22"/>
        </w:rPr>
        <w:t>A partir del grafico 4 e</w:t>
      </w:r>
      <w:r w:rsidRPr="00E43453">
        <w:rPr>
          <w:szCs w:val="22"/>
        </w:rPr>
        <w:t xml:space="preserve">s claro que </w:t>
      </w:r>
      <w:r>
        <w:rPr>
          <w:szCs w:val="22"/>
        </w:rPr>
        <w:t>el mercado presenta</w:t>
      </w:r>
      <w:r w:rsidRPr="00E43453">
        <w:rPr>
          <w:szCs w:val="22"/>
        </w:rPr>
        <w:t xml:space="preserve"> la tasa más baja de los últimos</w:t>
      </w:r>
      <w:r>
        <w:rPr>
          <w:szCs w:val="22"/>
        </w:rPr>
        <w:t xml:space="preserve"> 4 años para viviendas que no son</w:t>
      </w:r>
      <w:r w:rsidRPr="00E43453">
        <w:rPr>
          <w:szCs w:val="22"/>
        </w:rPr>
        <w:t xml:space="preserve"> de interés social, a diferencia de</w:t>
      </w:r>
      <w:r>
        <w:rPr>
          <w:szCs w:val="22"/>
        </w:rPr>
        <w:t xml:space="preserve"> la tasa asociada con créditos de</w:t>
      </w:r>
      <w:r w:rsidRPr="00E43453">
        <w:rPr>
          <w:szCs w:val="22"/>
        </w:rPr>
        <w:t xml:space="preserve"> vivienda de interés social que </w:t>
      </w:r>
      <w:r>
        <w:rPr>
          <w:szCs w:val="22"/>
        </w:rPr>
        <w:t xml:space="preserve">para </w:t>
      </w:r>
      <w:r w:rsidRPr="00E43453">
        <w:rPr>
          <w:szCs w:val="22"/>
        </w:rPr>
        <w:t>el último año ha</w:t>
      </w:r>
      <w:r>
        <w:rPr>
          <w:szCs w:val="22"/>
        </w:rPr>
        <w:t>n</w:t>
      </w:r>
      <w:r w:rsidRPr="00E43453">
        <w:rPr>
          <w:szCs w:val="22"/>
        </w:rPr>
        <w:t xml:space="preserve"> tenido un comportamiento alcista</w:t>
      </w:r>
      <w:r>
        <w:rPr>
          <w:szCs w:val="22"/>
        </w:rPr>
        <w:t xml:space="preserve"> (Compensatorio de los subsidios focalizados a este tipo de viviendas)</w:t>
      </w:r>
      <w:r w:rsidRPr="00E43453">
        <w:rPr>
          <w:szCs w:val="22"/>
        </w:rPr>
        <w:t>.</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Bajo este argumento</w:t>
      </w:r>
      <w:r>
        <w:rPr>
          <w:szCs w:val="22"/>
        </w:rPr>
        <w:t>,</w:t>
      </w:r>
      <w:r w:rsidRPr="00E43453">
        <w:rPr>
          <w:szCs w:val="22"/>
        </w:rPr>
        <w:t xml:space="preserve"> se hace imperiosa la creación de una prima de vivienda para </w:t>
      </w:r>
      <w:r>
        <w:rPr>
          <w:szCs w:val="22"/>
        </w:rPr>
        <w:t xml:space="preserve">mejorar las condiciones socioeconómicas de los </w:t>
      </w:r>
      <w:r w:rsidRPr="00E43453">
        <w:rPr>
          <w:szCs w:val="22"/>
        </w:rPr>
        <w:t xml:space="preserve">trabajadores </w:t>
      </w:r>
      <w:r>
        <w:rPr>
          <w:szCs w:val="22"/>
        </w:rPr>
        <w:t>vulnerables</w:t>
      </w:r>
      <w:r w:rsidRPr="00E43453">
        <w:rPr>
          <w:szCs w:val="22"/>
        </w:rPr>
        <w:t xml:space="preserve">. Con ella se fortalece el acceso a la vivienda para </w:t>
      </w:r>
      <w:r>
        <w:rPr>
          <w:szCs w:val="22"/>
        </w:rPr>
        <w:t>este grupo poblacional que tan solo en las áreas urbanas del país corresponde al 94% de los asalariados en junio de 2013</w:t>
      </w:r>
      <w:r w:rsidRPr="00E43453">
        <w:rPr>
          <w:szCs w:val="22"/>
        </w:rPr>
        <w:t>. La prima de vivienda deb</w:t>
      </w:r>
      <w:r>
        <w:rPr>
          <w:szCs w:val="22"/>
        </w:rPr>
        <w:t>erá consistir en el 10% del SMLM</w:t>
      </w:r>
      <w:r w:rsidRPr="00E43453">
        <w:rPr>
          <w:szCs w:val="22"/>
        </w:rPr>
        <w:t xml:space="preserve">V </w:t>
      </w:r>
      <w:r>
        <w:rPr>
          <w:szCs w:val="22"/>
        </w:rPr>
        <w:t xml:space="preserve">por año trabajado </w:t>
      </w:r>
      <w:r w:rsidRPr="00E43453">
        <w:rPr>
          <w:szCs w:val="22"/>
        </w:rPr>
        <w:t>como aporte de los empleadores</w:t>
      </w:r>
      <w:r>
        <w:rPr>
          <w:szCs w:val="22"/>
        </w:rPr>
        <w:t xml:space="preserve"> descontable del impuesto de renta</w:t>
      </w:r>
      <w:r w:rsidRPr="00E43453">
        <w:rPr>
          <w:szCs w:val="22"/>
        </w:rPr>
        <w:t>.</w:t>
      </w:r>
      <w:r>
        <w:rPr>
          <w:szCs w:val="22"/>
        </w:rPr>
        <w:t xml:space="preserve"> Este monto es equivalente a 1.2 salarios mínimos legales vigente por año trabajado.</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La Prima de Vivienda corresp</w:t>
      </w:r>
      <w:r>
        <w:rPr>
          <w:szCs w:val="22"/>
        </w:rPr>
        <w:t xml:space="preserve">onderá a un auxilio de vivienda y </w:t>
      </w:r>
      <w:r w:rsidRPr="00E43453">
        <w:rPr>
          <w:szCs w:val="22"/>
        </w:rPr>
        <w:t>por consiguiente no</w:t>
      </w:r>
      <w:r>
        <w:rPr>
          <w:szCs w:val="22"/>
        </w:rPr>
        <w:t xml:space="preserve"> constituye parte del salario, lo cual no contribuirá al incremento</w:t>
      </w:r>
      <w:r w:rsidRPr="00E43453">
        <w:rPr>
          <w:szCs w:val="22"/>
        </w:rPr>
        <w:t xml:space="preserve"> </w:t>
      </w:r>
      <w:r>
        <w:rPr>
          <w:szCs w:val="22"/>
        </w:rPr>
        <w:t>d</w:t>
      </w:r>
      <w:r w:rsidRPr="00E43453">
        <w:rPr>
          <w:szCs w:val="22"/>
        </w:rPr>
        <w:t>el valor de los para</w:t>
      </w:r>
      <w:r>
        <w:rPr>
          <w:szCs w:val="22"/>
        </w:rPr>
        <w:t>fiscales pagado por las empresas. El criterio de 4 SMLM</w:t>
      </w:r>
      <w:r w:rsidRPr="00E43453">
        <w:rPr>
          <w:szCs w:val="22"/>
        </w:rPr>
        <w:t>V</w:t>
      </w:r>
      <w:r>
        <w:rPr>
          <w:szCs w:val="22"/>
        </w:rPr>
        <w:t xml:space="preserve"> se fundamenta en una aproximación al principio de universalidad de esta prima, coherente con el costo fiscal asociado</w:t>
      </w:r>
      <w:r w:rsidRPr="00E43453">
        <w:rPr>
          <w:szCs w:val="22"/>
        </w:rPr>
        <w:t xml:space="preserve">. </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Esta prima de vivienda además de permitir el acceso habitacional de los más pobres, logrará fortalecer la relación existente entre el trabajador y el empleador. El empleador podrá descontar el valor que ha pagado de prima de vivienda a sus trabajadores al momento de pagar el impuesto de renta de la empresa.</w:t>
      </w:r>
    </w:p>
    <w:p w:rsidR="00EB5AA6" w:rsidRDefault="00365892" w:rsidP="00EB5AA6">
      <w:pPr>
        <w:jc w:val="both"/>
        <w:rPr>
          <w:b/>
        </w:rPr>
      </w:pPr>
    </w:p>
    <w:p w:rsidR="00EB5AA6" w:rsidRDefault="00365892" w:rsidP="00EB5AA6">
      <w:pPr>
        <w:jc w:val="both"/>
        <w:rPr>
          <w:b/>
        </w:rPr>
      </w:pPr>
    </w:p>
    <w:p w:rsidR="00F01EC4" w:rsidRDefault="00365892" w:rsidP="00EB5AA6">
      <w:pPr>
        <w:autoSpaceDE w:val="0"/>
        <w:autoSpaceDN w:val="0"/>
        <w:adjustRightInd w:val="0"/>
        <w:rPr>
          <w:b/>
          <w:szCs w:val="22"/>
        </w:rPr>
      </w:pPr>
    </w:p>
    <w:p w:rsidR="00EB5AA6" w:rsidRPr="00EB5AA6" w:rsidRDefault="00FA64AA" w:rsidP="00EB5AA6">
      <w:pPr>
        <w:autoSpaceDE w:val="0"/>
        <w:autoSpaceDN w:val="0"/>
        <w:adjustRightInd w:val="0"/>
        <w:rPr>
          <w:b/>
          <w:szCs w:val="22"/>
        </w:rPr>
      </w:pPr>
      <w:r w:rsidRPr="00EB5AA6">
        <w:rPr>
          <w:b/>
          <w:szCs w:val="22"/>
        </w:rPr>
        <w:t>IDENTIFICACIÓN DE BARRERAS DE ACCESO AL CRÉDITO</w:t>
      </w:r>
    </w:p>
    <w:p w:rsidR="00EB5AA6" w:rsidRPr="00EB5AA6" w:rsidRDefault="00365892" w:rsidP="00EB5AA6">
      <w:pPr>
        <w:autoSpaceDE w:val="0"/>
        <w:autoSpaceDN w:val="0"/>
        <w:adjustRightInd w:val="0"/>
        <w:rPr>
          <w:b/>
          <w:szCs w:val="22"/>
        </w:rPr>
      </w:pPr>
    </w:p>
    <w:p w:rsidR="00EB5AA6" w:rsidRPr="00EB5AA6" w:rsidRDefault="00FA64AA" w:rsidP="00EB5AA6">
      <w:pPr>
        <w:jc w:val="both"/>
        <w:rPr>
          <w:szCs w:val="22"/>
        </w:rPr>
      </w:pPr>
      <w:r w:rsidRPr="00EB5AA6">
        <w:rPr>
          <w:szCs w:val="22"/>
        </w:rPr>
        <w:t>Una revisión de las condiciones vigentes del mercado permiten identificar que para el caso hipotético de un crédito hipotecario de $70 millones a una vigencia de 15 años, los requerimientos de ingreso salarial son de mínim</w:t>
      </w:r>
      <w:r>
        <w:rPr>
          <w:szCs w:val="22"/>
        </w:rPr>
        <w:t>o $1.2 millones, es decir 2 SMLM</w:t>
      </w:r>
      <w:r w:rsidRPr="00EB5AA6">
        <w:rPr>
          <w:szCs w:val="22"/>
        </w:rPr>
        <w:t>V, así como. Adicionalmente, las condiciones vigentes del mercado indican que por cada millón prestado, la cuota mensual fija promedio de es de $100,000.</w:t>
      </w:r>
    </w:p>
    <w:p w:rsidR="00EB5AA6" w:rsidRPr="00EB5AA6" w:rsidRDefault="00365892" w:rsidP="00EB5AA6">
      <w:pPr>
        <w:jc w:val="both"/>
        <w:rPr>
          <w:szCs w:val="22"/>
        </w:rPr>
      </w:pPr>
    </w:p>
    <w:p w:rsidR="00EB5AA6" w:rsidRPr="00EB5AA6" w:rsidRDefault="00FA64AA" w:rsidP="00EB5AA6">
      <w:pPr>
        <w:jc w:val="both"/>
        <w:rPr>
          <w:szCs w:val="22"/>
        </w:rPr>
      </w:pPr>
      <w:r w:rsidRPr="00EB5AA6">
        <w:rPr>
          <w:szCs w:val="22"/>
        </w:rPr>
        <w:t xml:space="preserve">Con base en los supuestos anteriores, se requiere destinar $700,000 de los ingresos laborales para el pago del crédito de vivienda, lo cual es bastante restrictivo para un trabajador promedio que gane hasta 2 SMLMV. </w:t>
      </w:r>
    </w:p>
    <w:p w:rsidR="00EB5AA6" w:rsidRPr="00EB5AA6" w:rsidRDefault="00365892" w:rsidP="00EB5AA6">
      <w:pPr>
        <w:jc w:val="both"/>
        <w:rPr>
          <w:szCs w:val="22"/>
        </w:rPr>
      </w:pPr>
    </w:p>
    <w:p w:rsidR="00EB5AA6" w:rsidRPr="00EB5AA6" w:rsidRDefault="00FA64AA" w:rsidP="00EB5AA6">
      <w:pPr>
        <w:jc w:val="both"/>
        <w:rPr>
          <w:szCs w:val="22"/>
        </w:rPr>
      </w:pPr>
      <w:r w:rsidRPr="00EB5AA6">
        <w:rPr>
          <w:szCs w:val="22"/>
        </w:rPr>
        <w:t>Adicionalmente, tal y como se muestra en la Tabla 3, el hecho de que el 78% de los asalariados urbanos, así como el 93% de los asalariados rurales, se encuentra por debajo del umbral de dos salarios mínimos legales, implica que el costo fiscal de extensión del beneficio de la prima de vivienda hasta ingresos equivalentes de 4SMLMV es marginal.</w:t>
      </w:r>
    </w:p>
    <w:p w:rsidR="00EB5AA6" w:rsidRPr="00EB5AA6" w:rsidRDefault="00365892" w:rsidP="00EB5AA6">
      <w:pPr>
        <w:jc w:val="both"/>
        <w:rPr>
          <w:szCs w:val="22"/>
        </w:rPr>
      </w:pPr>
    </w:p>
    <w:p w:rsidR="00EB5AA6" w:rsidRPr="00EB5AA6" w:rsidRDefault="00FA64AA" w:rsidP="00EB5AA6">
      <w:pPr>
        <w:jc w:val="both"/>
        <w:rPr>
          <w:szCs w:val="22"/>
        </w:rPr>
      </w:pPr>
      <w:r w:rsidRPr="00EB5AA6">
        <w:rPr>
          <w:szCs w:val="22"/>
        </w:rPr>
        <w:t>Estos cálculos preliminares hacen evidente la imperiosa necesidad de fortalecer, a través de políticas públicas, las condiciones socioeconómicas de aquélla fracción de la población conocida como la base de la pirámide.</w:t>
      </w:r>
    </w:p>
    <w:p w:rsidR="00EB5AA6" w:rsidRDefault="00365892" w:rsidP="00616D1D">
      <w:pPr>
        <w:autoSpaceDE w:val="0"/>
        <w:autoSpaceDN w:val="0"/>
        <w:adjustRightInd w:val="0"/>
        <w:jc w:val="center"/>
        <w:rPr>
          <w:b/>
          <w:szCs w:val="22"/>
        </w:rPr>
      </w:pPr>
    </w:p>
    <w:p w:rsidR="00EB5AA6" w:rsidRPr="00E43453" w:rsidRDefault="00FA64AA" w:rsidP="00EB5AA6">
      <w:pPr>
        <w:jc w:val="both"/>
        <w:rPr>
          <w:szCs w:val="22"/>
        </w:rPr>
      </w:pPr>
      <w:r w:rsidRPr="00E43453">
        <w:rPr>
          <w:szCs w:val="22"/>
        </w:rPr>
        <w:t xml:space="preserve">Para mirar las condiciones operacionales de este esquema, se evalúa a continuación los escenarios de pago de nómina con y sin prima de vivienda: </w:t>
      </w:r>
    </w:p>
    <w:p w:rsidR="00EB5AA6" w:rsidRDefault="00365892" w:rsidP="00616D1D">
      <w:pPr>
        <w:autoSpaceDE w:val="0"/>
        <w:autoSpaceDN w:val="0"/>
        <w:adjustRightInd w:val="0"/>
        <w:jc w:val="center"/>
        <w:rPr>
          <w:b/>
          <w:szCs w:val="22"/>
        </w:rPr>
      </w:pPr>
    </w:p>
    <w:p w:rsidR="00EB5AA6" w:rsidRDefault="00365892" w:rsidP="00616D1D">
      <w:pPr>
        <w:autoSpaceDE w:val="0"/>
        <w:autoSpaceDN w:val="0"/>
        <w:adjustRightInd w:val="0"/>
        <w:jc w:val="center"/>
        <w:rPr>
          <w:b/>
          <w:szCs w:val="22"/>
        </w:rPr>
      </w:pPr>
    </w:p>
    <w:p w:rsidR="00616D1D" w:rsidRPr="00E43453" w:rsidRDefault="00FA64AA" w:rsidP="00616D1D">
      <w:pPr>
        <w:autoSpaceDE w:val="0"/>
        <w:autoSpaceDN w:val="0"/>
        <w:adjustRightInd w:val="0"/>
        <w:jc w:val="center"/>
        <w:rPr>
          <w:b/>
          <w:szCs w:val="22"/>
        </w:rPr>
      </w:pPr>
      <w:r>
        <w:rPr>
          <w:b/>
          <w:szCs w:val="22"/>
        </w:rPr>
        <w:t>TABLA 6.</w:t>
      </w:r>
      <w:r w:rsidRPr="00E43453">
        <w:rPr>
          <w:b/>
          <w:szCs w:val="22"/>
        </w:rPr>
        <w:t>Pago de nomina antes de la prima de vivienda</w:t>
      </w:r>
    </w:p>
    <w:tbl>
      <w:tblPr>
        <w:tblW w:w="7622" w:type="dxa"/>
        <w:jc w:val="center"/>
        <w:tblInd w:w="55" w:type="dxa"/>
        <w:tblCellMar>
          <w:left w:w="70" w:type="dxa"/>
          <w:right w:w="70" w:type="dxa"/>
        </w:tblCellMar>
        <w:tblLook w:val="04A0" w:firstRow="1" w:lastRow="0" w:firstColumn="1" w:lastColumn="0" w:noHBand="0" w:noVBand="1"/>
      </w:tblPr>
      <w:tblGrid>
        <w:gridCol w:w="2119"/>
        <w:gridCol w:w="2115"/>
        <w:gridCol w:w="1621"/>
        <w:gridCol w:w="1767"/>
      </w:tblGrid>
      <w:tr w:rsidR="00CA20DA" w:rsidRPr="00CA20DA">
        <w:trPr>
          <w:trHeight w:val="234"/>
          <w:jc w:val="center"/>
        </w:trPr>
        <w:tc>
          <w:tcPr>
            <w:tcW w:w="2119" w:type="dxa"/>
            <w:tcBorders>
              <w:top w:val="single" w:sz="8" w:space="0" w:color="000000"/>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Cargos </w:t>
            </w:r>
          </w:p>
        </w:tc>
        <w:tc>
          <w:tcPr>
            <w:tcW w:w="2115" w:type="dxa"/>
            <w:tcBorders>
              <w:top w:val="single" w:sz="8" w:space="0" w:color="000000"/>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Concepto </w:t>
            </w:r>
          </w:p>
        </w:tc>
        <w:tc>
          <w:tcPr>
            <w:tcW w:w="1621" w:type="dxa"/>
            <w:tcBorders>
              <w:top w:val="single" w:sz="8" w:space="0" w:color="000000"/>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 </w:t>
            </w:r>
          </w:p>
        </w:tc>
        <w:tc>
          <w:tcPr>
            <w:tcW w:w="1767" w:type="dxa"/>
            <w:tcBorders>
              <w:top w:val="single" w:sz="8" w:space="0" w:color="000000"/>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Costo </w:t>
            </w:r>
          </w:p>
        </w:tc>
      </w:tr>
      <w:tr w:rsidR="00CA20DA" w:rsidRPr="00CA20DA">
        <w:trPr>
          <w:trHeight w:val="457"/>
          <w:jc w:val="center"/>
        </w:trPr>
        <w:tc>
          <w:tcPr>
            <w:tcW w:w="2119" w:type="dxa"/>
            <w:vMerge w:val="restart"/>
            <w:tcBorders>
              <w:top w:val="nil"/>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Nomina </w:t>
            </w:r>
          </w:p>
        </w:tc>
        <w:tc>
          <w:tcPr>
            <w:tcW w:w="2115"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Salario Nominal </w:t>
            </w:r>
          </w:p>
        </w:tc>
        <w:tc>
          <w:tcPr>
            <w:tcW w:w="1621"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 xml:space="preserve"> </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$ 616.000 </w:t>
            </w:r>
          </w:p>
        </w:tc>
      </w:tr>
      <w:tr w:rsidR="00CA20DA" w:rsidRPr="00CA20DA">
        <w:trPr>
          <w:trHeight w:val="680"/>
          <w:jc w:val="center"/>
        </w:trPr>
        <w:tc>
          <w:tcPr>
            <w:tcW w:w="2119"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15"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Auxilio de transporte </w:t>
            </w:r>
          </w:p>
        </w:tc>
        <w:tc>
          <w:tcPr>
            <w:tcW w:w="1621"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 xml:space="preserve"> </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$ 72.000 </w:t>
            </w:r>
          </w:p>
        </w:tc>
      </w:tr>
      <w:tr w:rsidR="00CA20DA" w:rsidRPr="00CA20DA">
        <w:trPr>
          <w:trHeight w:val="427"/>
          <w:jc w:val="center"/>
        </w:trPr>
        <w:tc>
          <w:tcPr>
            <w:tcW w:w="2119" w:type="dxa"/>
            <w:vMerge w:val="restart"/>
            <w:tcBorders>
              <w:top w:val="nil"/>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Aportes de la seguridad Social </w:t>
            </w:r>
          </w:p>
        </w:tc>
        <w:tc>
          <w:tcPr>
            <w:tcW w:w="2115"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EPS </w:t>
            </w:r>
          </w:p>
        </w:tc>
        <w:tc>
          <w:tcPr>
            <w:tcW w:w="1621"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0,00%</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$ 0 </w:t>
            </w:r>
          </w:p>
        </w:tc>
      </w:tr>
      <w:tr w:rsidR="00CA20DA" w:rsidRPr="00CA20DA">
        <w:trPr>
          <w:trHeight w:val="234"/>
          <w:jc w:val="center"/>
        </w:trPr>
        <w:tc>
          <w:tcPr>
            <w:tcW w:w="2119"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15"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AFP </w:t>
            </w:r>
          </w:p>
        </w:tc>
        <w:tc>
          <w:tcPr>
            <w:tcW w:w="1621"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12%</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$ 73.920 </w:t>
            </w:r>
          </w:p>
        </w:tc>
      </w:tr>
      <w:tr w:rsidR="00CA20DA" w:rsidRPr="00CA20DA">
        <w:trPr>
          <w:trHeight w:val="234"/>
          <w:jc w:val="center"/>
        </w:trPr>
        <w:tc>
          <w:tcPr>
            <w:tcW w:w="2119"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15"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ARP *</w:t>
            </w:r>
          </w:p>
        </w:tc>
        <w:tc>
          <w:tcPr>
            <w:tcW w:w="1621"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0,52%</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$ 3.203 </w:t>
            </w:r>
          </w:p>
        </w:tc>
      </w:tr>
      <w:tr w:rsidR="00CA20DA" w:rsidRPr="00CA20DA">
        <w:trPr>
          <w:trHeight w:val="234"/>
          <w:jc w:val="center"/>
        </w:trPr>
        <w:tc>
          <w:tcPr>
            <w:tcW w:w="2119" w:type="dxa"/>
            <w:vMerge w:val="restart"/>
            <w:tcBorders>
              <w:top w:val="nil"/>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Prestaciones Sociales </w:t>
            </w:r>
          </w:p>
        </w:tc>
        <w:tc>
          <w:tcPr>
            <w:tcW w:w="2115"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Cesantías </w:t>
            </w:r>
          </w:p>
        </w:tc>
        <w:tc>
          <w:tcPr>
            <w:tcW w:w="1621"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8,33%</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$ 51.313 </w:t>
            </w:r>
          </w:p>
        </w:tc>
      </w:tr>
      <w:tr w:rsidR="00CA20DA" w:rsidRPr="00CA20DA">
        <w:trPr>
          <w:trHeight w:val="234"/>
          <w:jc w:val="center"/>
        </w:trPr>
        <w:tc>
          <w:tcPr>
            <w:tcW w:w="2119"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15"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Intereses </w:t>
            </w:r>
          </w:p>
        </w:tc>
        <w:tc>
          <w:tcPr>
            <w:tcW w:w="1621"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1%</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$ 6.160 </w:t>
            </w:r>
          </w:p>
        </w:tc>
      </w:tr>
      <w:tr w:rsidR="00CA20DA" w:rsidRPr="00CA20DA">
        <w:trPr>
          <w:trHeight w:val="457"/>
          <w:jc w:val="center"/>
        </w:trPr>
        <w:tc>
          <w:tcPr>
            <w:tcW w:w="2119"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15"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Prima de servicios </w:t>
            </w:r>
          </w:p>
        </w:tc>
        <w:tc>
          <w:tcPr>
            <w:tcW w:w="1621"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8,33%</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$ 51.313 </w:t>
            </w:r>
          </w:p>
        </w:tc>
      </w:tr>
      <w:tr w:rsidR="00CA20DA" w:rsidRPr="00CA20DA">
        <w:trPr>
          <w:trHeight w:val="234"/>
          <w:jc w:val="center"/>
        </w:trPr>
        <w:tc>
          <w:tcPr>
            <w:tcW w:w="2119"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15"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Vacaciones </w:t>
            </w:r>
          </w:p>
        </w:tc>
        <w:tc>
          <w:tcPr>
            <w:tcW w:w="1621"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4,34%</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$ 26.734 </w:t>
            </w:r>
          </w:p>
        </w:tc>
      </w:tr>
      <w:tr w:rsidR="00CA20DA" w:rsidRPr="00CA20DA">
        <w:trPr>
          <w:trHeight w:val="58"/>
          <w:jc w:val="center"/>
        </w:trPr>
        <w:tc>
          <w:tcPr>
            <w:tcW w:w="5855" w:type="dxa"/>
            <w:gridSpan w:val="3"/>
            <w:tcBorders>
              <w:top w:val="single" w:sz="8" w:space="0" w:color="000000"/>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Total Costos de Nomina </w:t>
            </w:r>
          </w:p>
        </w:tc>
        <w:tc>
          <w:tcPr>
            <w:tcW w:w="1767"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$ 900.643 </w:t>
            </w:r>
          </w:p>
        </w:tc>
      </w:tr>
    </w:tbl>
    <w:p w:rsidR="00F01EC4" w:rsidRDefault="00365892" w:rsidP="00B57677">
      <w:pPr>
        <w:autoSpaceDE w:val="0"/>
        <w:autoSpaceDN w:val="0"/>
        <w:adjustRightInd w:val="0"/>
        <w:rPr>
          <w:b/>
          <w:szCs w:val="22"/>
        </w:rPr>
      </w:pPr>
    </w:p>
    <w:p w:rsidR="00F01EC4" w:rsidRDefault="00365892" w:rsidP="00616D1D">
      <w:pPr>
        <w:autoSpaceDE w:val="0"/>
        <w:autoSpaceDN w:val="0"/>
        <w:adjustRightInd w:val="0"/>
        <w:jc w:val="center"/>
        <w:rPr>
          <w:b/>
          <w:szCs w:val="22"/>
        </w:rPr>
      </w:pPr>
    </w:p>
    <w:p w:rsidR="00616D1D" w:rsidRPr="00E43453" w:rsidRDefault="00FA64AA" w:rsidP="00616D1D">
      <w:pPr>
        <w:autoSpaceDE w:val="0"/>
        <w:autoSpaceDN w:val="0"/>
        <w:adjustRightInd w:val="0"/>
        <w:jc w:val="center"/>
        <w:rPr>
          <w:b/>
          <w:szCs w:val="22"/>
        </w:rPr>
      </w:pPr>
      <w:r>
        <w:rPr>
          <w:b/>
          <w:szCs w:val="22"/>
        </w:rPr>
        <w:t xml:space="preserve">TABLA 7 </w:t>
      </w:r>
      <w:r w:rsidRPr="00E43453">
        <w:rPr>
          <w:b/>
          <w:szCs w:val="22"/>
        </w:rPr>
        <w:t>Pago de nomina con la prima de vivienda</w:t>
      </w:r>
    </w:p>
    <w:tbl>
      <w:tblPr>
        <w:tblW w:w="7654" w:type="dxa"/>
        <w:jc w:val="center"/>
        <w:tblInd w:w="55" w:type="dxa"/>
        <w:tblCellMar>
          <w:left w:w="70" w:type="dxa"/>
          <w:right w:w="70" w:type="dxa"/>
        </w:tblCellMar>
        <w:tblLook w:val="04A0" w:firstRow="1" w:lastRow="0" w:firstColumn="1" w:lastColumn="0" w:noHBand="0" w:noVBand="1"/>
      </w:tblPr>
      <w:tblGrid>
        <w:gridCol w:w="2127"/>
        <w:gridCol w:w="2123"/>
        <w:gridCol w:w="1630"/>
        <w:gridCol w:w="1774"/>
      </w:tblGrid>
      <w:tr w:rsidR="00CA20DA" w:rsidRPr="00CA20DA">
        <w:trPr>
          <w:trHeight w:val="225"/>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Cargos </w:t>
            </w:r>
          </w:p>
        </w:tc>
        <w:tc>
          <w:tcPr>
            <w:tcW w:w="2123" w:type="dxa"/>
            <w:tcBorders>
              <w:top w:val="single" w:sz="8" w:space="0" w:color="000000"/>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Concepto </w:t>
            </w:r>
          </w:p>
        </w:tc>
        <w:tc>
          <w:tcPr>
            <w:tcW w:w="1629" w:type="dxa"/>
            <w:tcBorders>
              <w:top w:val="single" w:sz="8" w:space="0" w:color="000000"/>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 </w:t>
            </w:r>
          </w:p>
        </w:tc>
        <w:tc>
          <w:tcPr>
            <w:tcW w:w="1774" w:type="dxa"/>
            <w:tcBorders>
              <w:top w:val="single" w:sz="8" w:space="0" w:color="000000"/>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Costo </w:t>
            </w:r>
          </w:p>
        </w:tc>
      </w:tr>
      <w:tr w:rsidR="00CA20DA" w:rsidRPr="00CA20DA">
        <w:trPr>
          <w:trHeight w:val="439"/>
          <w:jc w:val="center"/>
        </w:trPr>
        <w:tc>
          <w:tcPr>
            <w:tcW w:w="2127" w:type="dxa"/>
            <w:vMerge w:val="restart"/>
            <w:tcBorders>
              <w:top w:val="nil"/>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Nomina </w:t>
            </w: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Salario Nominal </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 xml:space="preserve"> </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$ 616.000 </w:t>
            </w:r>
          </w:p>
        </w:tc>
      </w:tr>
      <w:tr w:rsidR="00CA20DA" w:rsidRPr="00CA20DA">
        <w:trPr>
          <w:trHeight w:val="439"/>
          <w:jc w:val="center"/>
        </w:trPr>
        <w:tc>
          <w:tcPr>
            <w:tcW w:w="2127"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Prima de vivienda</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10%</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$ 61.600 </w:t>
            </w:r>
          </w:p>
        </w:tc>
      </w:tr>
      <w:tr w:rsidR="00CA20DA" w:rsidRPr="00CA20DA">
        <w:trPr>
          <w:trHeight w:val="439"/>
          <w:jc w:val="center"/>
        </w:trPr>
        <w:tc>
          <w:tcPr>
            <w:tcW w:w="2127"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Auxilio de transporte </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 xml:space="preserve"> </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$ 72.000 </w:t>
            </w:r>
          </w:p>
        </w:tc>
      </w:tr>
      <w:tr w:rsidR="00CA20DA" w:rsidRPr="00CA20DA">
        <w:trPr>
          <w:trHeight w:val="409"/>
          <w:jc w:val="center"/>
        </w:trPr>
        <w:tc>
          <w:tcPr>
            <w:tcW w:w="2127" w:type="dxa"/>
            <w:vMerge w:val="restart"/>
            <w:tcBorders>
              <w:top w:val="nil"/>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Aportes de la seguridad Social </w:t>
            </w: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EPS </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0,00%</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$ 0 </w:t>
            </w:r>
          </w:p>
        </w:tc>
      </w:tr>
      <w:tr w:rsidR="00CA20DA" w:rsidRPr="00CA20DA">
        <w:trPr>
          <w:trHeight w:val="225"/>
          <w:jc w:val="center"/>
        </w:trPr>
        <w:tc>
          <w:tcPr>
            <w:tcW w:w="2127"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AFP </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12%</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$ 73.920 </w:t>
            </w:r>
          </w:p>
        </w:tc>
      </w:tr>
      <w:tr w:rsidR="00CA20DA" w:rsidRPr="00CA20DA">
        <w:trPr>
          <w:trHeight w:val="225"/>
          <w:jc w:val="center"/>
        </w:trPr>
        <w:tc>
          <w:tcPr>
            <w:tcW w:w="2127"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ARP *</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0,52%</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$ 3.203 </w:t>
            </w:r>
          </w:p>
        </w:tc>
      </w:tr>
      <w:tr w:rsidR="00CA20DA" w:rsidRPr="00CA20DA">
        <w:trPr>
          <w:trHeight w:val="225"/>
          <w:jc w:val="center"/>
        </w:trPr>
        <w:tc>
          <w:tcPr>
            <w:tcW w:w="2127" w:type="dxa"/>
            <w:vMerge w:val="restart"/>
            <w:tcBorders>
              <w:top w:val="nil"/>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Prestaciones Sociales </w:t>
            </w: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Cesantías </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8,33%</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$ 51.313 </w:t>
            </w:r>
          </w:p>
        </w:tc>
      </w:tr>
      <w:tr w:rsidR="00CA20DA" w:rsidRPr="00CA20DA">
        <w:trPr>
          <w:trHeight w:val="225"/>
          <w:jc w:val="center"/>
        </w:trPr>
        <w:tc>
          <w:tcPr>
            <w:tcW w:w="2127"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Intereses </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1%</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$ 6.160 </w:t>
            </w:r>
          </w:p>
        </w:tc>
      </w:tr>
      <w:tr w:rsidR="00CA20DA" w:rsidRPr="00CA20DA">
        <w:trPr>
          <w:trHeight w:val="439"/>
          <w:jc w:val="center"/>
        </w:trPr>
        <w:tc>
          <w:tcPr>
            <w:tcW w:w="2127"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Prima de servicios </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8,33%</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$ 51.313 </w:t>
            </w:r>
          </w:p>
        </w:tc>
      </w:tr>
      <w:tr w:rsidR="00CA20DA" w:rsidRPr="00CA20DA">
        <w:trPr>
          <w:trHeight w:val="225"/>
          <w:jc w:val="center"/>
        </w:trPr>
        <w:tc>
          <w:tcPr>
            <w:tcW w:w="2127" w:type="dxa"/>
            <w:vMerge/>
            <w:tcBorders>
              <w:top w:val="nil"/>
              <w:left w:val="single" w:sz="8" w:space="0" w:color="000000"/>
              <w:bottom w:val="single" w:sz="8" w:space="0" w:color="000000"/>
              <w:right w:val="single" w:sz="8" w:space="0" w:color="000000"/>
            </w:tcBorders>
            <w:vAlign w:val="center"/>
          </w:tcPr>
          <w:p w:rsidR="00CA20DA" w:rsidRPr="00CA20DA" w:rsidRDefault="00365892" w:rsidP="00CA20DA">
            <w:pPr>
              <w:rPr>
                <w:rFonts w:eastAsia="Times New Roman"/>
                <w:b/>
                <w:bCs/>
                <w:color w:val="000000"/>
                <w:szCs w:val="22"/>
                <w:lang w:eastAsia="es-CO"/>
              </w:rPr>
            </w:pPr>
          </w:p>
        </w:tc>
        <w:tc>
          <w:tcPr>
            <w:tcW w:w="2123"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Vacaciones </w:t>
            </w:r>
          </w:p>
        </w:tc>
        <w:tc>
          <w:tcPr>
            <w:tcW w:w="1629"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color w:val="000000"/>
                <w:szCs w:val="22"/>
                <w:lang w:eastAsia="es-CO"/>
              </w:rPr>
            </w:pPr>
            <w:r w:rsidRPr="00CA20DA">
              <w:rPr>
                <w:rFonts w:eastAsia="Times New Roman"/>
                <w:color w:val="000000"/>
                <w:szCs w:val="22"/>
                <w:lang w:eastAsia="es-CO"/>
              </w:rPr>
              <w:t>4,34%</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$ 26.734 </w:t>
            </w:r>
          </w:p>
        </w:tc>
      </w:tr>
      <w:tr w:rsidR="00CA20DA" w:rsidRPr="00CA20DA">
        <w:trPr>
          <w:trHeight w:val="225"/>
          <w:jc w:val="center"/>
        </w:trPr>
        <w:tc>
          <w:tcPr>
            <w:tcW w:w="5880" w:type="dxa"/>
            <w:gridSpan w:val="3"/>
            <w:tcBorders>
              <w:top w:val="single" w:sz="8" w:space="0" w:color="000000"/>
              <w:left w:val="single" w:sz="8" w:space="0" w:color="000000"/>
              <w:bottom w:val="single" w:sz="8" w:space="0" w:color="000000"/>
              <w:right w:val="single" w:sz="8" w:space="0" w:color="000000"/>
            </w:tcBorders>
            <w:shd w:val="clear" w:color="auto" w:fill="auto"/>
            <w:vAlign w:val="bottom"/>
          </w:tcPr>
          <w:p w:rsidR="00CA20DA" w:rsidRPr="00CA20DA" w:rsidRDefault="00FA64AA" w:rsidP="00CA20DA">
            <w:pPr>
              <w:jc w:val="center"/>
              <w:rPr>
                <w:rFonts w:eastAsia="Times New Roman"/>
                <w:b/>
                <w:bCs/>
                <w:color w:val="000000"/>
                <w:szCs w:val="22"/>
                <w:lang w:eastAsia="es-CO"/>
              </w:rPr>
            </w:pPr>
            <w:r w:rsidRPr="00CA20DA">
              <w:rPr>
                <w:rFonts w:eastAsia="Times New Roman"/>
                <w:b/>
                <w:bCs/>
                <w:color w:val="000000"/>
                <w:szCs w:val="22"/>
                <w:lang w:eastAsia="es-CO"/>
              </w:rPr>
              <w:t xml:space="preserve">Total Costos de Nomina </w:t>
            </w:r>
          </w:p>
        </w:tc>
        <w:tc>
          <w:tcPr>
            <w:tcW w:w="1774" w:type="dxa"/>
            <w:tcBorders>
              <w:top w:val="nil"/>
              <w:left w:val="nil"/>
              <w:bottom w:val="single" w:sz="8" w:space="0" w:color="000000"/>
              <w:right w:val="single" w:sz="8" w:space="0" w:color="000000"/>
            </w:tcBorders>
            <w:shd w:val="clear" w:color="auto" w:fill="auto"/>
            <w:vAlign w:val="bottom"/>
          </w:tcPr>
          <w:p w:rsidR="00CA20DA" w:rsidRPr="00CA20DA" w:rsidRDefault="00FA64AA" w:rsidP="00CA20DA">
            <w:pPr>
              <w:jc w:val="right"/>
              <w:rPr>
                <w:rFonts w:eastAsia="Times New Roman"/>
                <w:color w:val="000000"/>
                <w:szCs w:val="22"/>
                <w:lang w:eastAsia="es-CO"/>
              </w:rPr>
            </w:pPr>
            <w:r w:rsidRPr="00CA20DA">
              <w:rPr>
                <w:rFonts w:eastAsia="Times New Roman"/>
                <w:color w:val="000000"/>
                <w:szCs w:val="22"/>
                <w:lang w:eastAsia="es-CO"/>
              </w:rPr>
              <w:t xml:space="preserve">$ 962.243 </w:t>
            </w:r>
          </w:p>
        </w:tc>
      </w:tr>
    </w:tbl>
    <w:p w:rsidR="00616D1D" w:rsidRPr="00E43453" w:rsidRDefault="00365892" w:rsidP="00616D1D">
      <w:pPr>
        <w:rPr>
          <w:szCs w:val="22"/>
        </w:rPr>
      </w:pPr>
    </w:p>
    <w:p w:rsidR="00616D1D" w:rsidRPr="00E43453" w:rsidRDefault="00FA64AA" w:rsidP="00616D1D">
      <w:pPr>
        <w:jc w:val="both"/>
        <w:rPr>
          <w:szCs w:val="22"/>
        </w:rPr>
      </w:pPr>
      <w:r>
        <w:rPr>
          <w:szCs w:val="22"/>
        </w:rPr>
        <w:t>Considerando que el 10% del SMLM</w:t>
      </w:r>
      <w:r w:rsidRPr="00E43453">
        <w:rPr>
          <w:szCs w:val="22"/>
        </w:rPr>
        <w:t>V que se pagará por Prima de Vivienda, se de</w:t>
      </w:r>
      <w:r>
        <w:rPr>
          <w:szCs w:val="22"/>
        </w:rPr>
        <w:t xml:space="preserve">scontara </w:t>
      </w:r>
      <w:r w:rsidR="00656D1F">
        <w:rPr>
          <w:szCs w:val="22"/>
        </w:rPr>
        <w:t xml:space="preserve">en un 70% </w:t>
      </w:r>
      <w:r>
        <w:rPr>
          <w:szCs w:val="22"/>
        </w:rPr>
        <w:t>de la liquidación</w:t>
      </w:r>
      <w:r w:rsidRPr="00E43453">
        <w:rPr>
          <w:szCs w:val="22"/>
        </w:rPr>
        <w:t xml:space="preserve"> del impuesto de renta de las empresas, es evidente que este aporte </w:t>
      </w:r>
      <w:r w:rsidR="00656D1F">
        <w:rPr>
          <w:szCs w:val="22"/>
        </w:rPr>
        <w:t>fortalecerá la relación entre empleadores y trabajadores, además de impactar favorablemente un sector generador de empleo y calidad de vida</w:t>
      </w:r>
      <w:r w:rsidRPr="00E43453">
        <w:rPr>
          <w:szCs w:val="22"/>
        </w:rPr>
        <w:t xml:space="preserve">. </w:t>
      </w:r>
    </w:p>
    <w:p w:rsidR="00616D1D" w:rsidRPr="00E43453" w:rsidRDefault="00365892" w:rsidP="00616D1D">
      <w:pPr>
        <w:jc w:val="both"/>
        <w:rPr>
          <w:szCs w:val="22"/>
        </w:rPr>
      </w:pPr>
    </w:p>
    <w:p w:rsidR="00616D1D" w:rsidRPr="00E43453" w:rsidRDefault="00FA64AA" w:rsidP="00616D1D">
      <w:pPr>
        <w:jc w:val="both"/>
        <w:rPr>
          <w:szCs w:val="22"/>
        </w:rPr>
      </w:pPr>
      <w:r w:rsidRPr="00E43453">
        <w:rPr>
          <w:szCs w:val="22"/>
        </w:rPr>
        <w:t xml:space="preserve">Por último, partiendo de la </w:t>
      </w:r>
      <w:r>
        <w:rPr>
          <w:szCs w:val="22"/>
        </w:rPr>
        <w:t>TABLA</w:t>
      </w:r>
      <w:r w:rsidR="00656D1F">
        <w:rPr>
          <w:szCs w:val="22"/>
        </w:rPr>
        <w:t>S</w:t>
      </w:r>
      <w:r>
        <w:rPr>
          <w:szCs w:val="22"/>
        </w:rPr>
        <w:t xml:space="preserve">  4</w:t>
      </w:r>
      <w:r w:rsidR="00121EC6">
        <w:rPr>
          <w:szCs w:val="22"/>
        </w:rPr>
        <w:t xml:space="preserve"> </w:t>
      </w:r>
      <w:r>
        <w:t xml:space="preserve">  </w:t>
      </w:r>
      <w:r w:rsidR="00121EC6">
        <w:t>se aprecia  un volumen de 6.3 millones de potenciales beneficiarios</w:t>
      </w:r>
      <w:r>
        <w:t xml:space="preserve"> </w:t>
      </w:r>
      <w:r w:rsidR="00121EC6">
        <w:t xml:space="preserve">que </w:t>
      </w:r>
      <w:r>
        <w:t xml:space="preserve">devengan hasta cuatro salarios mínimos, </w:t>
      </w:r>
      <w:r w:rsidRPr="00E43453">
        <w:rPr>
          <w:szCs w:val="22"/>
        </w:rPr>
        <w:t>siendo el descuento t</w:t>
      </w:r>
      <w:r w:rsidR="00121EC6">
        <w:rPr>
          <w:szCs w:val="22"/>
        </w:rPr>
        <w:t>ributario aproximadamente de 3.2</w:t>
      </w:r>
      <w:r w:rsidRPr="00E43453">
        <w:rPr>
          <w:szCs w:val="22"/>
        </w:rPr>
        <w:t xml:space="preserve"> billones de pesos al año.</w:t>
      </w:r>
    </w:p>
    <w:p w:rsidR="00616D1D" w:rsidRPr="00E43453" w:rsidRDefault="00365892" w:rsidP="00616D1D">
      <w:pPr>
        <w:jc w:val="both"/>
        <w:rPr>
          <w:szCs w:val="22"/>
        </w:rPr>
      </w:pPr>
    </w:p>
    <w:p w:rsidR="00EB5AA6" w:rsidRDefault="00FA64AA" w:rsidP="00DE0156">
      <w:pPr>
        <w:jc w:val="both"/>
        <w:rPr>
          <w:szCs w:val="22"/>
        </w:rPr>
      </w:pPr>
      <w:r w:rsidRPr="00E43453">
        <w:rPr>
          <w:szCs w:val="22"/>
        </w:rPr>
        <w:t>No es de olvidar que el recaudo de la</w:t>
      </w:r>
      <w:r>
        <w:rPr>
          <w:szCs w:val="22"/>
        </w:rPr>
        <w:t>s declaraciones de renta total</w:t>
      </w:r>
      <w:r w:rsidRPr="00E43453">
        <w:rPr>
          <w:szCs w:val="22"/>
        </w:rPr>
        <w:t xml:space="preserve"> en Colombia, es aproximadamente 46 billones (Personas jurídicas y naturales). </w:t>
      </w:r>
      <w:r w:rsidRPr="00E43453">
        <w:rPr>
          <w:szCs w:val="22"/>
        </w:rPr>
        <w:tab/>
      </w:r>
    </w:p>
    <w:p w:rsidR="00EB5AA6" w:rsidRDefault="00365892" w:rsidP="00DE0156">
      <w:pPr>
        <w:jc w:val="both"/>
        <w:rPr>
          <w:szCs w:val="22"/>
        </w:rPr>
      </w:pPr>
    </w:p>
    <w:p w:rsidR="00616D1D" w:rsidRPr="00E43453" w:rsidRDefault="00FA64AA" w:rsidP="00DE0156">
      <w:pPr>
        <w:jc w:val="both"/>
        <w:rPr>
          <w:szCs w:val="22"/>
        </w:rPr>
      </w:pPr>
      <w:r w:rsidRPr="00E43453">
        <w:rPr>
          <w:szCs w:val="22"/>
        </w:rPr>
        <w:br w:type="page"/>
      </w:r>
    </w:p>
    <w:p w:rsidR="00616D1D" w:rsidRPr="00E43453" w:rsidRDefault="00FA64AA" w:rsidP="00616D1D">
      <w:pPr>
        <w:jc w:val="center"/>
        <w:rPr>
          <w:b/>
          <w:szCs w:val="22"/>
        </w:rPr>
      </w:pPr>
      <w:r w:rsidRPr="00E43453">
        <w:rPr>
          <w:b/>
          <w:szCs w:val="22"/>
        </w:rPr>
        <w:lastRenderedPageBreak/>
        <w:t>PROYECTO DE LEY N°____ DE 2014 SENADO</w:t>
      </w:r>
    </w:p>
    <w:p w:rsidR="00616D1D" w:rsidRPr="00E43453" w:rsidRDefault="00365892" w:rsidP="00616D1D">
      <w:pPr>
        <w:jc w:val="center"/>
        <w:rPr>
          <w:b/>
          <w:szCs w:val="22"/>
        </w:rPr>
      </w:pPr>
    </w:p>
    <w:p w:rsidR="00616D1D" w:rsidRPr="00E43453" w:rsidRDefault="00FA64AA" w:rsidP="00616D1D">
      <w:pPr>
        <w:jc w:val="center"/>
        <w:rPr>
          <w:b/>
          <w:szCs w:val="22"/>
        </w:rPr>
      </w:pPr>
      <w:r w:rsidRPr="00E43453">
        <w:rPr>
          <w:b/>
          <w:szCs w:val="22"/>
        </w:rPr>
        <w:t>“Por medio de la cual se crea la prima de vivienda con el fin de mejorar las co</w:t>
      </w:r>
      <w:r>
        <w:rPr>
          <w:b/>
          <w:szCs w:val="22"/>
        </w:rPr>
        <w:t xml:space="preserve">ndiciones socioeconómicas de </w:t>
      </w:r>
      <w:r w:rsidRPr="00E43453">
        <w:rPr>
          <w:b/>
          <w:szCs w:val="22"/>
        </w:rPr>
        <w:t>trabajadores</w:t>
      </w:r>
      <w:r>
        <w:rPr>
          <w:b/>
          <w:szCs w:val="22"/>
        </w:rPr>
        <w:t xml:space="preserve"> vulnerables</w:t>
      </w:r>
      <w:r w:rsidRPr="00E43453">
        <w:rPr>
          <w:b/>
          <w:szCs w:val="22"/>
        </w:rPr>
        <w:t>”</w:t>
      </w:r>
    </w:p>
    <w:p w:rsidR="00616D1D" w:rsidRPr="00E43453" w:rsidRDefault="00365892" w:rsidP="00616D1D">
      <w:pPr>
        <w:rPr>
          <w:szCs w:val="22"/>
        </w:rPr>
      </w:pPr>
    </w:p>
    <w:p w:rsidR="004C5B2E" w:rsidRPr="00E43453" w:rsidRDefault="00FA64AA" w:rsidP="00616D1D">
      <w:pPr>
        <w:jc w:val="center"/>
        <w:rPr>
          <w:b/>
          <w:szCs w:val="22"/>
        </w:rPr>
      </w:pPr>
      <w:r w:rsidRPr="00E43453">
        <w:rPr>
          <w:b/>
          <w:szCs w:val="22"/>
        </w:rPr>
        <w:t>EL CONGRESO DE COLOMBIA</w:t>
      </w:r>
    </w:p>
    <w:p w:rsidR="004C5B2E" w:rsidRPr="00E43453" w:rsidRDefault="00365892" w:rsidP="00616D1D">
      <w:pPr>
        <w:jc w:val="center"/>
        <w:rPr>
          <w:b/>
          <w:szCs w:val="22"/>
        </w:rPr>
      </w:pPr>
    </w:p>
    <w:p w:rsidR="004C5B2E" w:rsidRPr="00E43453" w:rsidRDefault="00FA64AA" w:rsidP="00616D1D">
      <w:pPr>
        <w:jc w:val="center"/>
        <w:rPr>
          <w:b/>
          <w:szCs w:val="22"/>
        </w:rPr>
      </w:pPr>
      <w:r w:rsidRPr="00E43453">
        <w:rPr>
          <w:b/>
          <w:szCs w:val="22"/>
        </w:rPr>
        <w:t>DECRETA:</w:t>
      </w:r>
    </w:p>
    <w:p w:rsidR="004C5B2E" w:rsidRDefault="00365892" w:rsidP="00616D1D">
      <w:pPr>
        <w:rPr>
          <w:szCs w:val="22"/>
        </w:rPr>
      </w:pPr>
    </w:p>
    <w:p w:rsidR="005E7923" w:rsidRDefault="00FA64AA" w:rsidP="00616D1D">
      <w:pPr>
        <w:rPr>
          <w:szCs w:val="22"/>
        </w:rPr>
      </w:pPr>
      <w:r>
        <w:rPr>
          <w:szCs w:val="22"/>
        </w:rPr>
        <w:t xml:space="preserve">Adicionase al capítulo VI del título IX de la Primera Parte del Código Sustantivo del Trabajo el siguiente artículo: </w:t>
      </w:r>
    </w:p>
    <w:p w:rsidR="005E7923" w:rsidRPr="00E43453" w:rsidRDefault="00365892" w:rsidP="00616D1D">
      <w:pPr>
        <w:rPr>
          <w:szCs w:val="22"/>
        </w:rPr>
      </w:pPr>
    </w:p>
    <w:p w:rsidR="00C30CFF" w:rsidRPr="00E43453" w:rsidRDefault="00FA64AA" w:rsidP="00616D1D">
      <w:pPr>
        <w:jc w:val="both"/>
        <w:rPr>
          <w:szCs w:val="22"/>
        </w:rPr>
      </w:pPr>
      <w:r w:rsidRPr="00E43453">
        <w:rPr>
          <w:b/>
          <w:szCs w:val="22"/>
        </w:rPr>
        <w:t>Artículo 1. Prima de vivienda.</w:t>
      </w:r>
      <w:r w:rsidRPr="00E43453">
        <w:rPr>
          <w:szCs w:val="22"/>
        </w:rPr>
        <w:t xml:space="preserve"> Toda empresa está obligada a pagar a cada uno de sus trabajadores que devenguen hasta cuatro salarios mínimos legales vigentes una prima de vivienda como prestación especial, así:</w:t>
      </w:r>
    </w:p>
    <w:p w:rsidR="00C30CFF" w:rsidRPr="00E43453" w:rsidRDefault="00365892" w:rsidP="00616D1D">
      <w:pPr>
        <w:jc w:val="both"/>
        <w:rPr>
          <w:szCs w:val="22"/>
        </w:rPr>
      </w:pPr>
    </w:p>
    <w:p w:rsidR="00C30CFF" w:rsidRPr="00E43453" w:rsidRDefault="00FA64AA" w:rsidP="00616D1D">
      <w:pPr>
        <w:pStyle w:val="Prrafodelista"/>
        <w:numPr>
          <w:ilvl w:val="0"/>
          <w:numId w:val="4"/>
        </w:numPr>
        <w:jc w:val="both"/>
        <w:rPr>
          <w:szCs w:val="22"/>
        </w:rPr>
      </w:pPr>
      <w:r w:rsidRPr="00E43453">
        <w:rPr>
          <w:szCs w:val="22"/>
        </w:rPr>
        <w:t xml:space="preserve">La prima de vivienda </w:t>
      </w:r>
      <w:r w:rsidR="00B57677">
        <w:rPr>
          <w:szCs w:val="22"/>
        </w:rPr>
        <w:t xml:space="preserve"> equivaldrá</w:t>
      </w:r>
      <w:r>
        <w:rPr>
          <w:szCs w:val="22"/>
        </w:rPr>
        <w:t xml:space="preserve"> al 10% del Salario Mínimo Legal Vigente y se pagará mensualmente al trabajador. </w:t>
      </w:r>
    </w:p>
    <w:p w:rsidR="00AA5DBE" w:rsidRPr="00E43453" w:rsidRDefault="00365892" w:rsidP="00616D1D">
      <w:pPr>
        <w:pStyle w:val="Prrafodelista"/>
        <w:ind w:left="360"/>
        <w:jc w:val="both"/>
        <w:rPr>
          <w:szCs w:val="22"/>
        </w:rPr>
      </w:pPr>
    </w:p>
    <w:p w:rsidR="00C30CFF" w:rsidRPr="00E43453" w:rsidRDefault="00FA64AA" w:rsidP="00616D1D">
      <w:pPr>
        <w:pStyle w:val="Prrafodelista"/>
        <w:numPr>
          <w:ilvl w:val="0"/>
          <w:numId w:val="4"/>
        </w:numPr>
        <w:jc w:val="both"/>
        <w:rPr>
          <w:szCs w:val="22"/>
        </w:rPr>
      </w:pPr>
      <w:r w:rsidRPr="00E43453">
        <w:rPr>
          <w:szCs w:val="22"/>
        </w:rPr>
        <w:t>La prima de vivienda tiene por finalidad:</w:t>
      </w:r>
    </w:p>
    <w:p w:rsidR="00AA5DBE" w:rsidRPr="00E43453" w:rsidRDefault="00365892" w:rsidP="00616D1D">
      <w:pPr>
        <w:pStyle w:val="Prrafodelista"/>
        <w:rPr>
          <w:szCs w:val="22"/>
        </w:rPr>
      </w:pPr>
    </w:p>
    <w:p w:rsidR="00C30CFF" w:rsidRPr="00E43453" w:rsidRDefault="00FA64AA" w:rsidP="00616D1D">
      <w:pPr>
        <w:pStyle w:val="Prrafodelista"/>
        <w:numPr>
          <w:ilvl w:val="1"/>
          <w:numId w:val="4"/>
        </w:numPr>
        <w:jc w:val="both"/>
        <w:rPr>
          <w:szCs w:val="22"/>
        </w:rPr>
      </w:pPr>
      <w:r w:rsidRPr="00E43453">
        <w:rPr>
          <w:szCs w:val="22"/>
        </w:rPr>
        <w:t>Aporte anual a capital para el crédito hipotecario asociado con la vivienda adquirida por el trabajador después de la expedición de la presente ley.</w:t>
      </w:r>
    </w:p>
    <w:p w:rsidR="00C30CFF" w:rsidRDefault="00FA64AA" w:rsidP="00616D1D">
      <w:pPr>
        <w:pStyle w:val="Prrafodelista"/>
        <w:numPr>
          <w:ilvl w:val="1"/>
          <w:numId w:val="4"/>
        </w:numPr>
        <w:jc w:val="both"/>
        <w:rPr>
          <w:szCs w:val="22"/>
        </w:rPr>
      </w:pPr>
      <w:r w:rsidRPr="00E43453">
        <w:rPr>
          <w:szCs w:val="22"/>
        </w:rPr>
        <w:t>Aporte para el pago de gastos notariales y de registro de la vivienda adquirida por el trabajador después de la expedición de la presente ley.</w:t>
      </w:r>
    </w:p>
    <w:p w:rsidR="00F01EC4" w:rsidRDefault="00FA64AA" w:rsidP="00616D1D">
      <w:pPr>
        <w:pStyle w:val="Prrafodelista"/>
        <w:numPr>
          <w:ilvl w:val="1"/>
          <w:numId w:val="4"/>
        </w:numPr>
        <w:jc w:val="both"/>
        <w:rPr>
          <w:szCs w:val="22"/>
        </w:rPr>
      </w:pPr>
      <w:r>
        <w:rPr>
          <w:szCs w:val="22"/>
        </w:rPr>
        <w:t>Aporte para el pago de cuota inicial de la vivienda adquirida por el trabajador después de la expedición de la presente ley.</w:t>
      </w:r>
    </w:p>
    <w:p w:rsidR="0005388D" w:rsidRDefault="00FA64AA" w:rsidP="00616D1D">
      <w:pPr>
        <w:pStyle w:val="Prrafodelista"/>
        <w:numPr>
          <w:ilvl w:val="1"/>
          <w:numId w:val="4"/>
        </w:numPr>
        <w:jc w:val="both"/>
        <w:rPr>
          <w:szCs w:val="22"/>
        </w:rPr>
      </w:pPr>
      <w:r>
        <w:rPr>
          <w:szCs w:val="22"/>
        </w:rPr>
        <w:t xml:space="preserve">Mejoramiento de </w:t>
      </w:r>
      <w:r w:rsidR="00B57677">
        <w:rPr>
          <w:szCs w:val="22"/>
        </w:rPr>
        <w:t xml:space="preserve">la </w:t>
      </w:r>
      <w:r>
        <w:rPr>
          <w:szCs w:val="22"/>
        </w:rPr>
        <w:t>vivienda</w:t>
      </w:r>
      <w:r w:rsidR="00AD2900">
        <w:rPr>
          <w:szCs w:val="22"/>
        </w:rPr>
        <w:t xml:space="preserve"> en propiedad del trabajador a partir de la expedición de la presente ley.</w:t>
      </w:r>
    </w:p>
    <w:p w:rsidR="00B57677" w:rsidRPr="00B57677" w:rsidRDefault="00B57677" w:rsidP="00B57677">
      <w:pPr>
        <w:ind w:left="360"/>
        <w:jc w:val="both"/>
        <w:rPr>
          <w:szCs w:val="22"/>
        </w:rPr>
      </w:pPr>
    </w:p>
    <w:p w:rsidR="005E7923" w:rsidRDefault="00FA64AA" w:rsidP="005E7923">
      <w:pPr>
        <w:rPr>
          <w:szCs w:val="22"/>
        </w:rPr>
      </w:pPr>
      <w:r>
        <w:rPr>
          <w:szCs w:val="22"/>
        </w:rPr>
        <w:t xml:space="preserve">Adicionase al capítulo VI del título IX de la Primera Parte del Código Sustantivo del Trabajo el siguiente artículo: </w:t>
      </w:r>
    </w:p>
    <w:p w:rsidR="005E7923" w:rsidRDefault="00365892" w:rsidP="00616D1D">
      <w:pPr>
        <w:jc w:val="both"/>
        <w:rPr>
          <w:b/>
          <w:szCs w:val="22"/>
        </w:rPr>
      </w:pPr>
    </w:p>
    <w:p w:rsidR="00DC1D71" w:rsidRPr="00E43453" w:rsidRDefault="00FA64AA" w:rsidP="00616D1D">
      <w:pPr>
        <w:jc w:val="both"/>
        <w:rPr>
          <w:szCs w:val="22"/>
        </w:rPr>
      </w:pPr>
      <w:r w:rsidRPr="00E43453">
        <w:rPr>
          <w:b/>
          <w:szCs w:val="22"/>
        </w:rPr>
        <w:t>Artículo 2. Carácter jurídico.</w:t>
      </w:r>
      <w:r w:rsidRPr="00E43453">
        <w:rPr>
          <w:szCs w:val="22"/>
        </w:rPr>
        <w:t xml:space="preserve"> La prima de vivienda no es salario, ni se computará como factor del salario en ningún caso.</w:t>
      </w:r>
    </w:p>
    <w:p w:rsidR="00DC1D71" w:rsidRDefault="00365892" w:rsidP="00616D1D">
      <w:pPr>
        <w:jc w:val="both"/>
        <w:rPr>
          <w:szCs w:val="22"/>
        </w:rPr>
      </w:pPr>
    </w:p>
    <w:p w:rsidR="005E7923" w:rsidRDefault="00FA64AA" w:rsidP="005E7923">
      <w:pPr>
        <w:rPr>
          <w:szCs w:val="22"/>
        </w:rPr>
      </w:pPr>
      <w:r>
        <w:rPr>
          <w:szCs w:val="22"/>
        </w:rPr>
        <w:t xml:space="preserve">Adicionase al capítulo VI del título IX de la Primera Parte del Código Sustantivo del Trabajo el siguiente artículo: </w:t>
      </w:r>
    </w:p>
    <w:p w:rsidR="005E7923" w:rsidRPr="00E43453" w:rsidRDefault="00365892" w:rsidP="00616D1D">
      <w:pPr>
        <w:jc w:val="both"/>
        <w:rPr>
          <w:szCs w:val="22"/>
        </w:rPr>
      </w:pPr>
    </w:p>
    <w:p w:rsidR="00F01EC4" w:rsidRDefault="00FA64AA" w:rsidP="00616D1D">
      <w:pPr>
        <w:jc w:val="both"/>
        <w:rPr>
          <w:szCs w:val="22"/>
        </w:rPr>
      </w:pPr>
      <w:r w:rsidRPr="00E43453">
        <w:rPr>
          <w:b/>
          <w:szCs w:val="22"/>
        </w:rPr>
        <w:t>Artículo 3. Forma de pago de la prima de vivienda.</w:t>
      </w:r>
      <w:r w:rsidRPr="00E43453">
        <w:rPr>
          <w:szCs w:val="22"/>
        </w:rPr>
        <w:t xml:space="preserve"> La prima de vivienda será pagadera </w:t>
      </w:r>
      <w:r>
        <w:rPr>
          <w:szCs w:val="22"/>
        </w:rPr>
        <w:t xml:space="preserve">mensualmente por el empleador mediante depósito en el Fondo de Cesantías del </w:t>
      </w:r>
      <w:r>
        <w:rPr>
          <w:szCs w:val="22"/>
        </w:rPr>
        <w:lastRenderedPageBreak/>
        <w:t xml:space="preserve">trabajador. </w:t>
      </w:r>
      <w:r w:rsidR="00AD2900">
        <w:rPr>
          <w:szCs w:val="22"/>
        </w:rPr>
        <w:t>Para tales efectos se aplicará la Planilla Integrada de Liquidación de Aportes (PILA)</w:t>
      </w:r>
    </w:p>
    <w:p w:rsidR="0005388D" w:rsidRDefault="00365892" w:rsidP="00616D1D">
      <w:pPr>
        <w:jc w:val="both"/>
        <w:rPr>
          <w:szCs w:val="22"/>
        </w:rPr>
      </w:pPr>
    </w:p>
    <w:p w:rsidR="005E7923" w:rsidRDefault="00FA64AA" w:rsidP="005E7923">
      <w:pPr>
        <w:rPr>
          <w:szCs w:val="22"/>
        </w:rPr>
      </w:pPr>
      <w:r>
        <w:rPr>
          <w:szCs w:val="22"/>
        </w:rPr>
        <w:t xml:space="preserve">Adicionase al capítulo VI del título IX de la Primera Parte del Código Sustantivo del Trabajo el siguiente artículo: </w:t>
      </w:r>
    </w:p>
    <w:p w:rsidR="00F01EC4" w:rsidRDefault="00365892" w:rsidP="00616D1D">
      <w:pPr>
        <w:jc w:val="both"/>
        <w:rPr>
          <w:szCs w:val="22"/>
        </w:rPr>
      </w:pPr>
    </w:p>
    <w:p w:rsidR="00F01EC4" w:rsidRDefault="00365892" w:rsidP="00616D1D">
      <w:pPr>
        <w:jc w:val="both"/>
        <w:rPr>
          <w:szCs w:val="22"/>
        </w:rPr>
      </w:pPr>
    </w:p>
    <w:p w:rsidR="00AA5DBE" w:rsidRPr="00E43453" w:rsidRDefault="00FA64AA" w:rsidP="00616D1D">
      <w:pPr>
        <w:jc w:val="both"/>
        <w:rPr>
          <w:szCs w:val="22"/>
        </w:rPr>
      </w:pPr>
      <w:r w:rsidRPr="00E43453">
        <w:rPr>
          <w:b/>
          <w:szCs w:val="22"/>
        </w:rPr>
        <w:t>Artíc</w:t>
      </w:r>
      <w:r>
        <w:rPr>
          <w:b/>
          <w:szCs w:val="22"/>
        </w:rPr>
        <w:t>ulo 4. De la prima de vivienda, los créditos del empleador y</w:t>
      </w:r>
      <w:r w:rsidRPr="00E43453">
        <w:rPr>
          <w:b/>
          <w:szCs w:val="22"/>
        </w:rPr>
        <w:t xml:space="preserve"> las convenciones colectivas. </w:t>
      </w:r>
      <w:r w:rsidRPr="00E43453">
        <w:rPr>
          <w:szCs w:val="22"/>
        </w:rPr>
        <w:t>En el caso de que el trabajador solicite o tenga un crédito</w:t>
      </w:r>
      <w:r>
        <w:rPr>
          <w:szCs w:val="22"/>
        </w:rPr>
        <w:t xml:space="preserve"> para </w:t>
      </w:r>
      <w:r w:rsidR="00AD2900">
        <w:rPr>
          <w:szCs w:val="22"/>
        </w:rPr>
        <w:t>la adquisición de</w:t>
      </w:r>
      <w:r>
        <w:rPr>
          <w:szCs w:val="22"/>
        </w:rPr>
        <w:t xml:space="preserve"> vivienda </w:t>
      </w:r>
      <w:r w:rsidRPr="00E43453">
        <w:rPr>
          <w:szCs w:val="22"/>
        </w:rPr>
        <w:t xml:space="preserve">otorgado </w:t>
      </w:r>
      <w:r w:rsidR="005A79AB">
        <w:rPr>
          <w:szCs w:val="22"/>
        </w:rPr>
        <w:t>antes</w:t>
      </w:r>
      <w:r>
        <w:rPr>
          <w:szCs w:val="22"/>
        </w:rPr>
        <w:t xml:space="preserve"> de la expedición de la presente ley </w:t>
      </w:r>
      <w:r w:rsidRPr="00E43453">
        <w:rPr>
          <w:szCs w:val="22"/>
        </w:rPr>
        <w:t>por</w:t>
      </w:r>
      <w:r>
        <w:rPr>
          <w:szCs w:val="22"/>
        </w:rPr>
        <w:t xml:space="preserve"> el empleador </w:t>
      </w:r>
      <w:r w:rsidRPr="00E43453">
        <w:rPr>
          <w:szCs w:val="22"/>
        </w:rPr>
        <w:t xml:space="preserve"> </w:t>
      </w:r>
      <w:r>
        <w:rPr>
          <w:szCs w:val="22"/>
        </w:rPr>
        <w:t xml:space="preserve">o por </w:t>
      </w:r>
      <w:r w:rsidRPr="00E43453">
        <w:rPr>
          <w:szCs w:val="22"/>
        </w:rPr>
        <w:t>un fondo de vivienda de origen convencional</w:t>
      </w:r>
      <w:r>
        <w:rPr>
          <w:szCs w:val="22"/>
        </w:rPr>
        <w:t>,</w:t>
      </w:r>
      <w:r w:rsidRPr="00E43453">
        <w:rPr>
          <w:szCs w:val="22"/>
        </w:rPr>
        <w:t xml:space="preserve"> la prima que p</w:t>
      </w:r>
      <w:r>
        <w:rPr>
          <w:szCs w:val="22"/>
        </w:rPr>
        <w:t>or la presente ley se establece</w:t>
      </w:r>
      <w:r w:rsidRPr="00E43453">
        <w:rPr>
          <w:szCs w:val="22"/>
        </w:rPr>
        <w:t xml:space="preserve"> se aplicará como aporte a capital para dicho crédito.</w:t>
      </w:r>
    </w:p>
    <w:p w:rsidR="00AA5DBE" w:rsidRDefault="00365892" w:rsidP="00616D1D">
      <w:pPr>
        <w:jc w:val="both"/>
        <w:rPr>
          <w:szCs w:val="22"/>
        </w:rPr>
      </w:pPr>
    </w:p>
    <w:p w:rsidR="005E7923" w:rsidRDefault="00FA64AA" w:rsidP="005E7923">
      <w:pPr>
        <w:rPr>
          <w:szCs w:val="22"/>
        </w:rPr>
      </w:pPr>
      <w:r>
        <w:rPr>
          <w:szCs w:val="22"/>
        </w:rPr>
        <w:t xml:space="preserve">Adicionase al capítulo VI del título IX de la Primera Parte del Código Sustantivo del Trabajo el siguiente artículo: </w:t>
      </w:r>
    </w:p>
    <w:p w:rsidR="005E7923" w:rsidRPr="00E43453" w:rsidRDefault="00365892" w:rsidP="00616D1D">
      <w:pPr>
        <w:jc w:val="both"/>
        <w:rPr>
          <w:szCs w:val="22"/>
        </w:rPr>
      </w:pPr>
    </w:p>
    <w:p w:rsidR="004C5B2E" w:rsidRPr="00E43453" w:rsidRDefault="00FA64AA" w:rsidP="00616D1D">
      <w:pPr>
        <w:jc w:val="both"/>
        <w:rPr>
          <w:szCs w:val="22"/>
        </w:rPr>
      </w:pPr>
      <w:r>
        <w:rPr>
          <w:b/>
          <w:szCs w:val="22"/>
        </w:rPr>
        <w:t>Artículo 5</w:t>
      </w:r>
      <w:r w:rsidRPr="00E43453">
        <w:rPr>
          <w:b/>
          <w:szCs w:val="22"/>
        </w:rPr>
        <w:t>. Descuento tributario por prima de vivienda.</w:t>
      </w:r>
      <w:r>
        <w:rPr>
          <w:szCs w:val="22"/>
        </w:rPr>
        <w:t xml:space="preserve"> El setenta por ciento -70%</w:t>
      </w:r>
      <w:r w:rsidRPr="00E43453">
        <w:rPr>
          <w:szCs w:val="22"/>
        </w:rPr>
        <w:t xml:space="preserve"> </w:t>
      </w:r>
      <w:r>
        <w:rPr>
          <w:szCs w:val="22"/>
        </w:rPr>
        <w:t>-</w:t>
      </w:r>
      <w:r w:rsidRPr="00E43453">
        <w:rPr>
          <w:szCs w:val="22"/>
        </w:rPr>
        <w:t>del monto efectivamente pagado por la empresa en forma de prima de vivienda durante la vigencia fiscal se descontará del pago de impuesto sobre la renta y complementarios de la empresa.</w:t>
      </w:r>
    </w:p>
    <w:p w:rsidR="002A7B9D" w:rsidRPr="00E43453" w:rsidRDefault="00365892" w:rsidP="00616D1D">
      <w:pPr>
        <w:jc w:val="both"/>
        <w:rPr>
          <w:szCs w:val="22"/>
        </w:rPr>
      </w:pPr>
    </w:p>
    <w:p w:rsidR="005E7923" w:rsidRDefault="00FA64AA" w:rsidP="005E7923">
      <w:pPr>
        <w:rPr>
          <w:szCs w:val="22"/>
        </w:rPr>
      </w:pPr>
      <w:r>
        <w:rPr>
          <w:szCs w:val="22"/>
        </w:rPr>
        <w:t xml:space="preserve">Adicionase al capítulo VI del título IX de la Primera Parte del Código Sustantivo del Trabajo el siguiente artículo: </w:t>
      </w:r>
    </w:p>
    <w:p w:rsidR="005E7923" w:rsidRDefault="00365892" w:rsidP="00616D1D">
      <w:pPr>
        <w:jc w:val="both"/>
        <w:rPr>
          <w:b/>
          <w:szCs w:val="22"/>
        </w:rPr>
      </w:pPr>
    </w:p>
    <w:p w:rsidR="002A7B9D" w:rsidRPr="00616D1D" w:rsidRDefault="00FA64AA" w:rsidP="00616D1D">
      <w:pPr>
        <w:jc w:val="both"/>
        <w:rPr>
          <w:szCs w:val="22"/>
        </w:rPr>
      </w:pPr>
      <w:r w:rsidRPr="00E43453">
        <w:rPr>
          <w:b/>
          <w:szCs w:val="22"/>
        </w:rPr>
        <w:t xml:space="preserve">Artículo 6. Términos y condiciones. </w:t>
      </w:r>
      <w:r w:rsidRPr="00E43453">
        <w:rPr>
          <w:szCs w:val="22"/>
        </w:rPr>
        <w:t xml:space="preserve">El Gobierno Nacional reglamentará la forma de pago y </w:t>
      </w:r>
      <w:r>
        <w:rPr>
          <w:szCs w:val="22"/>
        </w:rPr>
        <w:t xml:space="preserve">los requisitos, </w:t>
      </w:r>
      <w:r w:rsidRPr="00E43453">
        <w:rPr>
          <w:szCs w:val="22"/>
        </w:rPr>
        <w:t>términos y condiciones que se requieran para el cumplimiento de la presente ley y sus efectos tributarios.</w:t>
      </w:r>
    </w:p>
    <w:p w:rsidR="003B452D" w:rsidRPr="00616D1D" w:rsidRDefault="00365892" w:rsidP="00616D1D">
      <w:pPr>
        <w:jc w:val="both"/>
        <w:rPr>
          <w:szCs w:val="22"/>
        </w:rPr>
      </w:pPr>
    </w:p>
    <w:p w:rsidR="003B452D" w:rsidRDefault="00365892" w:rsidP="00616D1D">
      <w:pPr>
        <w:rPr>
          <w:szCs w:val="22"/>
        </w:rPr>
      </w:pPr>
    </w:p>
    <w:p w:rsidR="005E7923" w:rsidRPr="00616D1D" w:rsidRDefault="00FA64AA" w:rsidP="00616D1D">
      <w:pPr>
        <w:rPr>
          <w:szCs w:val="22"/>
        </w:rPr>
      </w:pPr>
      <w:r w:rsidRPr="005E7923">
        <w:rPr>
          <w:b/>
          <w:szCs w:val="22"/>
        </w:rPr>
        <w:t>A</w:t>
      </w:r>
      <w:r>
        <w:rPr>
          <w:b/>
          <w:szCs w:val="22"/>
        </w:rPr>
        <w:t>r</w:t>
      </w:r>
      <w:r w:rsidRPr="005E7923">
        <w:rPr>
          <w:b/>
          <w:szCs w:val="22"/>
        </w:rPr>
        <w:t>ticulo 7. Vigencia</w:t>
      </w:r>
      <w:r>
        <w:rPr>
          <w:b/>
          <w:szCs w:val="22"/>
        </w:rPr>
        <w:t>.</w:t>
      </w:r>
      <w:r>
        <w:rPr>
          <w:szCs w:val="22"/>
        </w:rPr>
        <w:t xml:space="preserve"> La presente ley rige a partir de la fecha de su publicación.</w:t>
      </w:r>
    </w:p>
    <w:p w:rsidR="00616D1D" w:rsidRPr="00616D1D" w:rsidRDefault="00365892">
      <w:pPr>
        <w:rPr>
          <w:szCs w:val="22"/>
        </w:rPr>
      </w:pPr>
    </w:p>
    <w:sectPr w:rsidR="00616D1D" w:rsidRPr="00616D1D" w:rsidSect="00555104">
      <w:pgSz w:w="12240" w:h="15840" w:code="119"/>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FEB" w:rsidRDefault="00CA4FEB" w:rsidP="00616D1D">
      <w:r>
        <w:separator/>
      </w:r>
    </w:p>
  </w:endnote>
  <w:endnote w:type="continuationSeparator" w:id="0">
    <w:p w:rsidR="00CA4FEB" w:rsidRDefault="00CA4FEB" w:rsidP="00616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FEB" w:rsidRDefault="00CA4FEB" w:rsidP="00616D1D">
      <w:r>
        <w:separator/>
      </w:r>
    </w:p>
  </w:footnote>
  <w:footnote w:type="continuationSeparator" w:id="0">
    <w:p w:rsidR="00CA4FEB" w:rsidRDefault="00CA4FEB" w:rsidP="00616D1D">
      <w:r>
        <w:continuationSeparator/>
      </w:r>
    </w:p>
  </w:footnote>
  <w:footnote w:id="1">
    <w:p w:rsidR="00EB5AA6" w:rsidRPr="00616D1D" w:rsidRDefault="00FA64AA" w:rsidP="00616D1D">
      <w:pPr>
        <w:pStyle w:val="Textonotapie"/>
        <w:rPr>
          <w:rFonts w:ascii="Segoe UI" w:hAnsi="Segoe UI" w:cs="Segoe UI"/>
          <w:sz w:val="18"/>
          <w:szCs w:val="18"/>
        </w:rPr>
      </w:pPr>
      <w:r w:rsidRPr="00616D1D">
        <w:rPr>
          <w:rStyle w:val="Refdenotaalpie"/>
          <w:rFonts w:ascii="Segoe UI" w:hAnsi="Segoe UI" w:cs="Segoe UI"/>
          <w:sz w:val="18"/>
          <w:szCs w:val="18"/>
        </w:rPr>
        <w:footnoteRef/>
      </w:r>
      <w:r w:rsidRPr="00616D1D">
        <w:rPr>
          <w:rFonts w:ascii="Segoe UI" w:hAnsi="Segoe UI" w:cs="Segoe UI"/>
          <w:sz w:val="18"/>
          <w:szCs w:val="18"/>
        </w:rPr>
        <w:t xml:space="preserve"> BID, Se busca vivienda en alquiler, opciones de política en América Latina y el Caribe 2014</w:t>
      </w:r>
    </w:p>
  </w:footnote>
  <w:footnote w:id="2">
    <w:p w:rsidR="00EB5AA6" w:rsidRPr="00616D1D" w:rsidRDefault="00FA64AA" w:rsidP="00616D1D">
      <w:pPr>
        <w:pStyle w:val="Textonotapie"/>
        <w:rPr>
          <w:rFonts w:ascii="Segoe UI" w:hAnsi="Segoe UI" w:cs="Segoe UI"/>
          <w:sz w:val="18"/>
          <w:szCs w:val="18"/>
        </w:rPr>
      </w:pPr>
      <w:r w:rsidRPr="00616D1D">
        <w:rPr>
          <w:rStyle w:val="Refdenotaalpie"/>
          <w:rFonts w:ascii="Segoe UI" w:hAnsi="Segoe UI" w:cs="Segoe UI"/>
          <w:sz w:val="18"/>
          <w:szCs w:val="18"/>
        </w:rPr>
        <w:footnoteRef/>
      </w:r>
      <w:r w:rsidRPr="00616D1D">
        <w:rPr>
          <w:rFonts w:ascii="Segoe UI" w:hAnsi="Segoe UI" w:cs="Segoe UI"/>
          <w:sz w:val="18"/>
          <w:szCs w:val="18"/>
        </w:rPr>
        <w:t xml:space="preserve"> BID, Varios caminos hacia una vivienda  2014</w:t>
      </w:r>
    </w:p>
  </w:footnote>
  <w:footnote w:id="3">
    <w:p w:rsidR="00EB5AA6" w:rsidRPr="00616D1D" w:rsidRDefault="00FA64AA" w:rsidP="00616D1D">
      <w:pPr>
        <w:pStyle w:val="Textonotapie"/>
        <w:rPr>
          <w:rFonts w:ascii="Segoe UI" w:hAnsi="Segoe UI" w:cs="Segoe UI"/>
          <w:sz w:val="18"/>
          <w:szCs w:val="18"/>
        </w:rPr>
      </w:pPr>
      <w:r w:rsidRPr="00616D1D">
        <w:rPr>
          <w:rStyle w:val="Refdenotaalpie"/>
          <w:rFonts w:ascii="Segoe UI" w:hAnsi="Segoe UI" w:cs="Segoe UI"/>
          <w:sz w:val="18"/>
          <w:szCs w:val="18"/>
        </w:rPr>
        <w:footnoteRef/>
      </w:r>
      <w:r w:rsidRPr="00616D1D">
        <w:rPr>
          <w:rFonts w:ascii="Segoe UI" w:hAnsi="Segoe UI" w:cs="Segoe UI"/>
          <w:sz w:val="18"/>
          <w:szCs w:val="18"/>
        </w:rPr>
        <w:t xml:space="preserve"> DANE – Déficit de Vivienda 2005</w:t>
      </w:r>
    </w:p>
  </w:footnote>
  <w:footnote w:id="4">
    <w:p w:rsidR="00EB5AA6" w:rsidRPr="00616D1D" w:rsidRDefault="00FA64AA" w:rsidP="00616D1D">
      <w:pPr>
        <w:pStyle w:val="Textonotapie"/>
        <w:rPr>
          <w:rFonts w:ascii="Segoe UI" w:hAnsi="Segoe UI" w:cs="Segoe UI"/>
          <w:sz w:val="18"/>
          <w:szCs w:val="18"/>
        </w:rPr>
      </w:pPr>
      <w:r w:rsidRPr="00616D1D">
        <w:rPr>
          <w:rStyle w:val="Refdenotaalpie"/>
          <w:rFonts w:ascii="Segoe UI" w:hAnsi="Segoe UI" w:cs="Segoe UI"/>
          <w:sz w:val="18"/>
          <w:szCs w:val="18"/>
        </w:rPr>
        <w:footnoteRef/>
      </w:r>
      <w:r w:rsidRPr="00616D1D">
        <w:rPr>
          <w:rFonts w:ascii="Segoe UI" w:hAnsi="Segoe UI" w:cs="Segoe UI"/>
          <w:sz w:val="18"/>
          <w:szCs w:val="18"/>
        </w:rPr>
        <w:t xml:space="preserve"> DANE- ECV 2013</w:t>
      </w:r>
    </w:p>
  </w:footnote>
  <w:footnote w:id="5">
    <w:p w:rsidR="00EB5AA6" w:rsidRPr="00616D1D" w:rsidRDefault="00FA64AA" w:rsidP="00616D1D">
      <w:pPr>
        <w:pStyle w:val="Textonotapie"/>
        <w:rPr>
          <w:rFonts w:ascii="Segoe UI" w:hAnsi="Segoe UI" w:cs="Segoe UI"/>
          <w:sz w:val="18"/>
          <w:szCs w:val="18"/>
        </w:rPr>
      </w:pPr>
      <w:r w:rsidRPr="00616D1D">
        <w:rPr>
          <w:rStyle w:val="Refdenotaalpie"/>
          <w:rFonts w:ascii="Segoe UI" w:hAnsi="Segoe UI" w:cs="Segoe UI"/>
          <w:sz w:val="18"/>
          <w:szCs w:val="18"/>
        </w:rPr>
        <w:footnoteRef/>
      </w:r>
      <w:r w:rsidRPr="00616D1D">
        <w:rPr>
          <w:rFonts w:ascii="Segoe UI" w:hAnsi="Segoe UI" w:cs="Segoe UI"/>
          <w:sz w:val="18"/>
          <w:szCs w:val="18"/>
        </w:rPr>
        <w:t xml:space="preserve"> Superintendencia Financiera reporte a Mayo de 2014</w:t>
      </w:r>
    </w:p>
  </w:footnote>
  <w:footnote w:id="6">
    <w:p w:rsidR="00EB5AA6" w:rsidRPr="00616D1D" w:rsidRDefault="00FA64AA" w:rsidP="007D698E">
      <w:pPr>
        <w:pStyle w:val="Textonotapie"/>
        <w:rPr>
          <w:rFonts w:ascii="Segoe UI" w:hAnsi="Segoe UI" w:cs="Segoe UI"/>
          <w:sz w:val="18"/>
          <w:szCs w:val="18"/>
        </w:rPr>
      </w:pPr>
      <w:r w:rsidRPr="00616D1D">
        <w:rPr>
          <w:rStyle w:val="Refdenotaalpie"/>
          <w:rFonts w:ascii="Segoe UI" w:hAnsi="Segoe UI" w:cs="Segoe UI"/>
          <w:sz w:val="18"/>
          <w:szCs w:val="18"/>
        </w:rPr>
        <w:footnoteRef/>
      </w:r>
      <w:r w:rsidRPr="00616D1D">
        <w:rPr>
          <w:rFonts w:ascii="Segoe UI" w:hAnsi="Segoe UI" w:cs="Segoe UI"/>
          <w:sz w:val="18"/>
          <w:szCs w:val="18"/>
        </w:rPr>
        <w:t xml:space="preserve"> Superintendencia de Subsidio Familiar – Datos a Diciembre de 2013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43EE6"/>
    <w:multiLevelType w:val="hybridMultilevel"/>
    <w:tmpl w:val="CB1443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F0D131C"/>
    <w:multiLevelType w:val="hybridMultilevel"/>
    <w:tmpl w:val="B0CE6D5C"/>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nsid w:val="3FB66C6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E027486"/>
    <w:multiLevelType w:val="hybridMultilevel"/>
    <w:tmpl w:val="245E7A8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6ADE2750"/>
    <w:multiLevelType w:val="hybridMultilevel"/>
    <w:tmpl w:val="B4E2B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E1B17E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B8F"/>
    <w:rsid w:val="00121EC6"/>
    <w:rsid w:val="001538D1"/>
    <w:rsid w:val="002730A0"/>
    <w:rsid w:val="00365892"/>
    <w:rsid w:val="00400A28"/>
    <w:rsid w:val="00473B8F"/>
    <w:rsid w:val="005A79AB"/>
    <w:rsid w:val="00656D1F"/>
    <w:rsid w:val="00770F80"/>
    <w:rsid w:val="00AD2900"/>
    <w:rsid w:val="00B57677"/>
    <w:rsid w:val="00BB1277"/>
    <w:rsid w:val="00CA4FEB"/>
    <w:rsid w:val="00FA64A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egoe UI" w:eastAsiaTheme="minorHAnsi" w:hAnsi="Segoe UI" w:cs="Segoe UI"/>
        <w:sz w:val="22"/>
        <w:szCs w:val="24"/>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69B"/>
  </w:style>
  <w:style w:type="paragraph" w:styleId="Ttulo1">
    <w:name w:val="heading 1"/>
    <w:basedOn w:val="Normal"/>
    <w:next w:val="Normal"/>
    <w:link w:val="Ttulo1Car"/>
    <w:uiPriority w:val="9"/>
    <w:qFormat/>
    <w:rsid w:val="00F916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9169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69B"/>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9169B"/>
    <w:rPr>
      <w:rFonts w:asciiTheme="majorHAnsi" w:eastAsiaTheme="majorEastAsia" w:hAnsiTheme="majorHAnsi" w:cstheme="majorBidi"/>
      <w:b/>
      <w:bCs/>
      <w:color w:val="4F81BD" w:themeColor="accent1"/>
      <w:sz w:val="26"/>
      <w:szCs w:val="26"/>
    </w:rPr>
  </w:style>
  <w:style w:type="paragraph" w:styleId="Epgrafe">
    <w:name w:val="caption"/>
    <w:basedOn w:val="Normal"/>
    <w:next w:val="Normal"/>
    <w:uiPriority w:val="35"/>
    <w:unhideWhenUsed/>
    <w:qFormat/>
    <w:rsid w:val="00F9169B"/>
    <w:rPr>
      <w:b/>
      <w:bCs/>
      <w:color w:val="4F81BD" w:themeColor="accent1"/>
      <w:sz w:val="18"/>
      <w:szCs w:val="18"/>
    </w:rPr>
  </w:style>
  <w:style w:type="paragraph" w:styleId="Prrafodelista">
    <w:name w:val="List Paragraph"/>
    <w:basedOn w:val="Normal"/>
    <w:uiPriority w:val="34"/>
    <w:qFormat/>
    <w:rsid w:val="00F9169B"/>
    <w:pPr>
      <w:ind w:left="720"/>
      <w:contextualSpacing/>
    </w:pPr>
  </w:style>
  <w:style w:type="paragraph" w:styleId="TtulodeTDC">
    <w:name w:val="TOC Heading"/>
    <w:basedOn w:val="Ttulo1"/>
    <w:next w:val="Normal"/>
    <w:uiPriority w:val="39"/>
    <w:semiHidden/>
    <w:unhideWhenUsed/>
    <w:qFormat/>
    <w:rsid w:val="00F9169B"/>
    <w:pPr>
      <w:outlineLvl w:val="9"/>
    </w:pPr>
    <w:rPr>
      <w:lang w:val="es-ES"/>
    </w:rPr>
  </w:style>
  <w:style w:type="paragraph" w:styleId="Textonotapie">
    <w:name w:val="footnote text"/>
    <w:basedOn w:val="Normal"/>
    <w:link w:val="TextonotapieCar"/>
    <w:uiPriority w:val="99"/>
    <w:unhideWhenUsed/>
    <w:rsid w:val="00616D1D"/>
    <w:rPr>
      <w:rFonts w:asciiTheme="minorHAnsi" w:hAnsiTheme="minorHAnsi" w:cstheme="minorBidi"/>
      <w:sz w:val="20"/>
      <w:szCs w:val="20"/>
    </w:rPr>
  </w:style>
  <w:style w:type="character" w:customStyle="1" w:styleId="TextonotapieCar">
    <w:name w:val="Texto nota pie Car"/>
    <w:basedOn w:val="Fuentedeprrafopredeter"/>
    <w:link w:val="Textonotapie"/>
    <w:uiPriority w:val="99"/>
    <w:rsid w:val="00616D1D"/>
    <w:rPr>
      <w:rFonts w:asciiTheme="minorHAnsi" w:hAnsiTheme="minorHAnsi" w:cstheme="minorBidi"/>
      <w:sz w:val="20"/>
      <w:szCs w:val="20"/>
    </w:rPr>
  </w:style>
  <w:style w:type="character" w:styleId="Refdenotaalpie">
    <w:name w:val="footnote reference"/>
    <w:basedOn w:val="Fuentedeprrafopredeter"/>
    <w:uiPriority w:val="99"/>
    <w:semiHidden/>
    <w:unhideWhenUsed/>
    <w:rsid w:val="00616D1D"/>
    <w:rPr>
      <w:vertAlign w:val="superscript"/>
    </w:rPr>
  </w:style>
  <w:style w:type="paragraph" w:styleId="Textodeglobo">
    <w:name w:val="Balloon Text"/>
    <w:basedOn w:val="Normal"/>
    <w:link w:val="TextodegloboCar"/>
    <w:uiPriority w:val="99"/>
    <w:semiHidden/>
    <w:unhideWhenUsed/>
    <w:rsid w:val="00616D1D"/>
    <w:rPr>
      <w:rFonts w:ascii="Tahoma" w:hAnsi="Tahoma" w:cs="Tahoma"/>
      <w:sz w:val="16"/>
      <w:szCs w:val="16"/>
    </w:rPr>
  </w:style>
  <w:style w:type="character" w:customStyle="1" w:styleId="TextodegloboCar">
    <w:name w:val="Texto de globo Car"/>
    <w:basedOn w:val="Fuentedeprrafopredeter"/>
    <w:link w:val="Textodeglobo"/>
    <w:uiPriority w:val="99"/>
    <w:semiHidden/>
    <w:rsid w:val="00616D1D"/>
    <w:rPr>
      <w:rFonts w:ascii="Tahoma" w:hAnsi="Tahoma" w:cs="Tahoma"/>
      <w:sz w:val="16"/>
      <w:szCs w:val="16"/>
    </w:rPr>
  </w:style>
  <w:style w:type="table" w:customStyle="1" w:styleId="Sombreadomedio1-nfasis11">
    <w:name w:val="Sombreado medio 1 - Énfasis 11"/>
    <w:basedOn w:val="Tablanormal"/>
    <w:uiPriority w:val="63"/>
    <w:rsid w:val="00151B41"/>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egoe UI" w:eastAsiaTheme="minorHAnsi" w:hAnsi="Segoe UI" w:cs="Segoe UI"/>
        <w:sz w:val="22"/>
        <w:szCs w:val="24"/>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69B"/>
  </w:style>
  <w:style w:type="paragraph" w:styleId="Ttulo1">
    <w:name w:val="heading 1"/>
    <w:basedOn w:val="Normal"/>
    <w:next w:val="Normal"/>
    <w:link w:val="Ttulo1Car"/>
    <w:uiPriority w:val="9"/>
    <w:qFormat/>
    <w:rsid w:val="00F916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9169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69B"/>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9169B"/>
    <w:rPr>
      <w:rFonts w:asciiTheme="majorHAnsi" w:eastAsiaTheme="majorEastAsia" w:hAnsiTheme="majorHAnsi" w:cstheme="majorBidi"/>
      <w:b/>
      <w:bCs/>
      <w:color w:val="4F81BD" w:themeColor="accent1"/>
      <w:sz w:val="26"/>
      <w:szCs w:val="26"/>
    </w:rPr>
  </w:style>
  <w:style w:type="paragraph" w:styleId="Epgrafe">
    <w:name w:val="caption"/>
    <w:basedOn w:val="Normal"/>
    <w:next w:val="Normal"/>
    <w:uiPriority w:val="35"/>
    <w:unhideWhenUsed/>
    <w:qFormat/>
    <w:rsid w:val="00F9169B"/>
    <w:rPr>
      <w:b/>
      <w:bCs/>
      <w:color w:val="4F81BD" w:themeColor="accent1"/>
      <w:sz w:val="18"/>
      <w:szCs w:val="18"/>
    </w:rPr>
  </w:style>
  <w:style w:type="paragraph" w:styleId="Prrafodelista">
    <w:name w:val="List Paragraph"/>
    <w:basedOn w:val="Normal"/>
    <w:uiPriority w:val="34"/>
    <w:qFormat/>
    <w:rsid w:val="00F9169B"/>
    <w:pPr>
      <w:ind w:left="720"/>
      <w:contextualSpacing/>
    </w:pPr>
  </w:style>
  <w:style w:type="paragraph" w:styleId="TtulodeTDC">
    <w:name w:val="TOC Heading"/>
    <w:basedOn w:val="Ttulo1"/>
    <w:next w:val="Normal"/>
    <w:uiPriority w:val="39"/>
    <w:semiHidden/>
    <w:unhideWhenUsed/>
    <w:qFormat/>
    <w:rsid w:val="00F9169B"/>
    <w:pPr>
      <w:outlineLvl w:val="9"/>
    </w:pPr>
    <w:rPr>
      <w:lang w:val="es-ES"/>
    </w:rPr>
  </w:style>
  <w:style w:type="paragraph" w:styleId="Textonotapie">
    <w:name w:val="footnote text"/>
    <w:basedOn w:val="Normal"/>
    <w:link w:val="TextonotapieCar"/>
    <w:uiPriority w:val="99"/>
    <w:unhideWhenUsed/>
    <w:rsid w:val="00616D1D"/>
    <w:rPr>
      <w:rFonts w:asciiTheme="minorHAnsi" w:hAnsiTheme="minorHAnsi" w:cstheme="minorBidi"/>
      <w:sz w:val="20"/>
      <w:szCs w:val="20"/>
    </w:rPr>
  </w:style>
  <w:style w:type="character" w:customStyle="1" w:styleId="TextonotapieCar">
    <w:name w:val="Texto nota pie Car"/>
    <w:basedOn w:val="Fuentedeprrafopredeter"/>
    <w:link w:val="Textonotapie"/>
    <w:uiPriority w:val="99"/>
    <w:rsid w:val="00616D1D"/>
    <w:rPr>
      <w:rFonts w:asciiTheme="minorHAnsi" w:hAnsiTheme="minorHAnsi" w:cstheme="minorBidi"/>
      <w:sz w:val="20"/>
      <w:szCs w:val="20"/>
    </w:rPr>
  </w:style>
  <w:style w:type="character" w:styleId="Refdenotaalpie">
    <w:name w:val="footnote reference"/>
    <w:basedOn w:val="Fuentedeprrafopredeter"/>
    <w:uiPriority w:val="99"/>
    <w:semiHidden/>
    <w:unhideWhenUsed/>
    <w:rsid w:val="00616D1D"/>
    <w:rPr>
      <w:vertAlign w:val="superscript"/>
    </w:rPr>
  </w:style>
  <w:style w:type="paragraph" w:styleId="Textodeglobo">
    <w:name w:val="Balloon Text"/>
    <w:basedOn w:val="Normal"/>
    <w:link w:val="TextodegloboCar"/>
    <w:uiPriority w:val="99"/>
    <w:semiHidden/>
    <w:unhideWhenUsed/>
    <w:rsid w:val="00616D1D"/>
    <w:rPr>
      <w:rFonts w:ascii="Tahoma" w:hAnsi="Tahoma" w:cs="Tahoma"/>
      <w:sz w:val="16"/>
      <w:szCs w:val="16"/>
    </w:rPr>
  </w:style>
  <w:style w:type="character" w:customStyle="1" w:styleId="TextodegloboCar">
    <w:name w:val="Texto de globo Car"/>
    <w:basedOn w:val="Fuentedeprrafopredeter"/>
    <w:link w:val="Textodeglobo"/>
    <w:uiPriority w:val="99"/>
    <w:semiHidden/>
    <w:rsid w:val="00616D1D"/>
    <w:rPr>
      <w:rFonts w:ascii="Tahoma" w:hAnsi="Tahoma" w:cs="Tahoma"/>
      <w:sz w:val="16"/>
      <w:szCs w:val="16"/>
    </w:rPr>
  </w:style>
  <w:style w:type="table" w:customStyle="1" w:styleId="Sombreadomedio1-nfasis11">
    <w:name w:val="Sombreado medio 1 - Énfasis 11"/>
    <w:basedOn w:val="Tablanormal"/>
    <w:uiPriority w:val="63"/>
    <w:rsid w:val="00151B41"/>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159391">
      <w:bodyDiv w:val="1"/>
      <w:marLeft w:val="0"/>
      <w:marRight w:val="0"/>
      <w:marTop w:val="0"/>
      <w:marBottom w:val="0"/>
      <w:divBdr>
        <w:top w:val="none" w:sz="0" w:space="0" w:color="auto"/>
        <w:left w:val="none" w:sz="0" w:space="0" w:color="auto"/>
        <w:bottom w:val="none" w:sz="0" w:space="0" w:color="auto"/>
        <w:right w:val="none" w:sz="0" w:space="0" w:color="auto"/>
      </w:divBdr>
    </w:div>
    <w:div w:id="113771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2899</Words>
  <Characters>15945</Characters>
  <Application>Microsoft Office Word</Application>
  <DocSecurity>4</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JDOviedo</dc:creator>
  <cp:lastModifiedBy>admin</cp:lastModifiedBy>
  <cp:revision>2</cp:revision>
  <dcterms:created xsi:type="dcterms:W3CDTF">2014-07-22T17:32:00Z</dcterms:created>
  <dcterms:modified xsi:type="dcterms:W3CDTF">2014-07-22T17:32:00Z</dcterms:modified>
</cp:coreProperties>
</file>