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E68" w:rsidRDefault="00E37E68" w:rsidP="003551ED">
      <w:pPr>
        <w:spacing w:line="240" w:lineRule="auto"/>
        <w:jc w:val="center"/>
        <w:rPr>
          <w:rFonts w:ascii="Arial" w:hAnsi="Arial" w:cs="Arial"/>
          <w:b/>
          <w:sz w:val="24"/>
          <w:szCs w:val="24"/>
        </w:rPr>
      </w:pPr>
      <w:bookmarkStart w:id="0" w:name="_GoBack"/>
      <w:bookmarkEnd w:id="0"/>
      <w:r>
        <w:rPr>
          <w:noProof/>
        </w:rPr>
        <w:drawing>
          <wp:inline distT="0" distB="0" distL="0" distR="0" wp14:anchorId="030B1119" wp14:editId="5A9B9CA2">
            <wp:extent cx="2057399" cy="78105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055776" cy="780434"/>
                    </a:xfrm>
                    <a:prstGeom prst="rect">
                      <a:avLst/>
                    </a:prstGeom>
                    <a:noFill/>
                    <a:ln w="9525">
                      <a:noFill/>
                      <a:miter lim="800000"/>
                      <a:headEnd/>
                      <a:tailEnd/>
                    </a:ln>
                  </pic:spPr>
                </pic:pic>
              </a:graphicData>
            </a:graphic>
          </wp:inline>
        </w:drawing>
      </w:r>
    </w:p>
    <w:p w:rsidR="00E37E68" w:rsidRPr="00E37E68" w:rsidRDefault="00E37E68" w:rsidP="003551ED">
      <w:pPr>
        <w:spacing w:after="0" w:line="240" w:lineRule="auto"/>
        <w:jc w:val="center"/>
        <w:rPr>
          <w:rFonts w:ascii="Agency FB" w:eastAsiaTheme="minorHAnsi" w:hAnsi="Agency FB"/>
          <w:b/>
          <w:sz w:val="24"/>
          <w:szCs w:val="24"/>
          <w:lang w:val="es-ES_tradnl" w:eastAsia="es-ES"/>
        </w:rPr>
      </w:pPr>
      <w:r w:rsidRPr="00E37E68">
        <w:rPr>
          <w:rFonts w:ascii="Agency FB" w:eastAsiaTheme="minorHAnsi" w:hAnsi="Agency FB"/>
          <w:b/>
          <w:sz w:val="24"/>
          <w:szCs w:val="24"/>
          <w:lang w:val="es-ES_tradnl" w:eastAsia="es-ES"/>
        </w:rPr>
        <w:t>H. Senador FERNANDO TAMAYO TAMAYO</w:t>
      </w:r>
    </w:p>
    <w:p w:rsidR="00E37E68" w:rsidRPr="00E37E68" w:rsidRDefault="00E37E68" w:rsidP="003551ED">
      <w:pPr>
        <w:spacing w:line="240" w:lineRule="auto"/>
        <w:jc w:val="center"/>
        <w:rPr>
          <w:rFonts w:ascii="Arial" w:hAnsi="Arial" w:cs="Arial"/>
          <w:b/>
          <w:sz w:val="24"/>
          <w:szCs w:val="24"/>
        </w:rPr>
      </w:pPr>
    </w:p>
    <w:p w:rsidR="00E37E68" w:rsidRPr="00E37E68" w:rsidRDefault="00E37E68" w:rsidP="00E37E68">
      <w:pPr>
        <w:spacing w:line="360" w:lineRule="auto"/>
        <w:rPr>
          <w:rFonts w:ascii="Arial" w:hAnsi="Arial" w:cs="Arial"/>
          <w:sz w:val="24"/>
          <w:szCs w:val="24"/>
        </w:rPr>
      </w:pPr>
      <w:r w:rsidRPr="00E37E68">
        <w:rPr>
          <w:rFonts w:ascii="Arial" w:hAnsi="Arial" w:cs="Arial"/>
          <w:sz w:val="24"/>
          <w:szCs w:val="24"/>
        </w:rPr>
        <w:t>Bogotá D.C., agosto 6 de 2012</w:t>
      </w:r>
    </w:p>
    <w:p w:rsidR="00E37E68" w:rsidRPr="00E37E68" w:rsidRDefault="00E37E68" w:rsidP="00735DAE">
      <w:pPr>
        <w:spacing w:line="240" w:lineRule="auto"/>
        <w:rPr>
          <w:rFonts w:ascii="Arial" w:hAnsi="Arial" w:cs="Arial"/>
          <w:sz w:val="24"/>
          <w:szCs w:val="24"/>
        </w:rPr>
      </w:pPr>
      <w:r w:rsidRPr="00E37E68">
        <w:rPr>
          <w:rFonts w:ascii="Arial" w:hAnsi="Arial" w:cs="Arial"/>
          <w:sz w:val="24"/>
          <w:szCs w:val="24"/>
        </w:rPr>
        <w:t>Doctor:</w:t>
      </w:r>
    </w:p>
    <w:p w:rsidR="00E37E68" w:rsidRPr="00E37E68" w:rsidRDefault="00E37E68" w:rsidP="00735DAE">
      <w:pPr>
        <w:spacing w:line="240" w:lineRule="auto"/>
        <w:rPr>
          <w:rFonts w:ascii="Arial" w:hAnsi="Arial" w:cs="Arial"/>
          <w:b/>
          <w:sz w:val="24"/>
          <w:szCs w:val="24"/>
        </w:rPr>
      </w:pPr>
      <w:r w:rsidRPr="00E37E68">
        <w:rPr>
          <w:rFonts w:ascii="Arial" w:hAnsi="Arial" w:cs="Arial"/>
          <w:b/>
          <w:sz w:val="24"/>
          <w:szCs w:val="24"/>
        </w:rPr>
        <w:t>GREGORIO ELJACH PACHECO</w:t>
      </w:r>
    </w:p>
    <w:p w:rsidR="00E37E68" w:rsidRPr="00E37E68" w:rsidRDefault="00E37E68" w:rsidP="00735DAE">
      <w:pPr>
        <w:spacing w:line="240" w:lineRule="auto"/>
        <w:rPr>
          <w:rFonts w:ascii="Arial" w:hAnsi="Arial" w:cs="Arial"/>
          <w:b/>
          <w:sz w:val="24"/>
          <w:szCs w:val="24"/>
        </w:rPr>
      </w:pPr>
      <w:r w:rsidRPr="00E37E68">
        <w:rPr>
          <w:rFonts w:ascii="Arial" w:hAnsi="Arial" w:cs="Arial"/>
          <w:b/>
          <w:sz w:val="24"/>
          <w:szCs w:val="24"/>
        </w:rPr>
        <w:t xml:space="preserve">Secretario General  </w:t>
      </w:r>
    </w:p>
    <w:p w:rsidR="00E37E68" w:rsidRPr="00E37E68" w:rsidRDefault="00E37E68" w:rsidP="00735DAE">
      <w:pPr>
        <w:spacing w:line="240" w:lineRule="auto"/>
        <w:rPr>
          <w:rFonts w:ascii="Arial" w:hAnsi="Arial" w:cs="Arial"/>
          <w:b/>
          <w:sz w:val="24"/>
          <w:szCs w:val="24"/>
        </w:rPr>
      </w:pPr>
      <w:r w:rsidRPr="00E37E68">
        <w:rPr>
          <w:rFonts w:ascii="Arial" w:hAnsi="Arial" w:cs="Arial"/>
          <w:b/>
          <w:sz w:val="24"/>
          <w:szCs w:val="24"/>
        </w:rPr>
        <w:t>H. SENADO DE LA REPUBLICA</w:t>
      </w:r>
    </w:p>
    <w:p w:rsidR="00E37E68" w:rsidRPr="00E37E68" w:rsidRDefault="00E37E68" w:rsidP="00735DAE">
      <w:pPr>
        <w:spacing w:line="240" w:lineRule="auto"/>
        <w:rPr>
          <w:rFonts w:ascii="Arial" w:hAnsi="Arial" w:cs="Arial"/>
          <w:sz w:val="24"/>
          <w:szCs w:val="24"/>
        </w:rPr>
      </w:pPr>
      <w:r w:rsidRPr="00E37E68">
        <w:rPr>
          <w:rFonts w:ascii="Arial" w:hAnsi="Arial" w:cs="Arial"/>
          <w:sz w:val="24"/>
          <w:szCs w:val="24"/>
        </w:rPr>
        <w:t>Despacho.</w:t>
      </w:r>
    </w:p>
    <w:p w:rsidR="003551ED" w:rsidRDefault="003551ED" w:rsidP="00E37E68">
      <w:pPr>
        <w:rPr>
          <w:rFonts w:ascii="Arial" w:hAnsi="Arial" w:cs="Arial"/>
          <w:sz w:val="24"/>
          <w:szCs w:val="24"/>
        </w:rPr>
      </w:pPr>
    </w:p>
    <w:p w:rsidR="00E37E68" w:rsidRPr="00E37E68" w:rsidRDefault="00E37E68" w:rsidP="00E37E68">
      <w:pPr>
        <w:rPr>
          <w:rFonts w:ascii="Arial" w:hAnsi="Arial" w:cs="Arial"/>
          <w:sz w:val="24"/>
          <w:szCs w:val="24"/>
        </w:rPr>
      </w:pPr>
      <w:r w:rsidRPr="00E37E68">
        <w:rPr>
          <w:rFonts w:ascii="Arial" w:hAnsi="Arial" w:cs="Arial"/>
          <w:sz w:val="24"/>
          <w:szCs w:val="24"/>
        </w:rPr>
        <w:t>Apreciado Secretario:</w:t>
      </w:r>
    </w:p>
    <w:p w:rsidR="00E37E68" w:rsidRPr="00E37E68" w:rsidRDefault="00E37E68" w:rsidP="00E37E68">
      <w:pPr>
        <w:spacing w:line="360" w:lineRule="auto"/>
        <w:jc w:val="both"/>
        <w:rPr>
          <w:rFonts w:ascii="Arial" w:hAnsi="Arial" w:cs="Arial"/>
          <w:sz w:val="24"/>
          <w:szCs w:val="24"/>
        </w:rPr>
      </w:pPr>
      <w:r w:rsidRPr="00E37E68">
        <w:rPr>
          <w:rFonts w:ascii="Arial" w:hAnsi="Arial" w:cs="Arial"/>
          <w:sz w:val="24"/>
          <w:szCs w:val="24"/>
        </w:rPr>
        <w:t>Con la presente me permito adjuntar el Proyecto de Ley “</w:t>
      </w:r>
      <w:r w:rsidRPr="00E37E68">
        <w:rPr>
          <w:rFonts w:ascii="Arial" w:hAnsi="Arial" w:cs="Arial"/>
          <w:b/>
          <w:sz w:val="24"/>
          <w:szCs w:val="24"/>
        </w:rPr>
        <w:t>Por la cual se establece el sistema de compensación a los municipios que se vean afectados con el desarrollo de proyectos hídricos productivos, y se dictan otras disposiciones</w:t>
      </w:r>
      <w:r w:rsidRPr="00E37E68">
        <w:rPr>
          <w:rFonts w:ascii="Arial" w:hAnsi="Arial" w:cs="Arial"/>
          <w:sz w:val="24"/>
          <w:szCs w:val="24"/>
        </w:rPr>
        <w:t>”, en original, dos copias y medio magnético, para su trámite correspondiente.</w:t>
      </w:r>
    </w:p>
    <w:p w:rsidR="00E37E68" w:rsidRPr="00E37E68" w:rsidRDefault="00E37E68" w:rsidP="00E37E68">
      <w:pPr>
        <w:spacing w:line="360" w:lineRule="auto"/>
        <w:rPr>
          <w:rFonts w:ascii="Arial" w:hAnsi="Arial" w:cs="Arial"/>
          <w:sz w:val="24"/>
          <w:szCs w:val="24"/>
        </w:rPr>
      </w:pPr>
      <w:r w:rsidRPr="00E37E68">
        <w:rPr>
          <w:rFonts w:ascii="Arial" w:hAnsi="Arial" w:cs="Arial"/>
          <w:sz w:val="24"/>
          <w:szCs w:val="24"/>
        </w:rPr>
        <w:t>De antemano un especial agradecimiento por su atención.</w:t>
      </w:r>
    </w:p>
    <w:p w:rsidR="00E37E68" w:rsidRPr="00E37E68" w:rsidRDefault="00E37E68" w:rsidP="00E37E68">
      <w:pPr>
        <w:spacing w:line="360" w:lineRule="auto"/>
        <w:rPr>
          <w:rFonts w:ascii="Arial" w:hAnsi="Arial" w:cs="Arial"/>
          <w:sz w:val="24"/>
          <w:szCs w:val="24"/>
        </w:rPr>
      </w:pPr>
      <w:r w:rsidRPr="00E37E68">
        <w:rPr>
          <w:rFonts w:ascii="Arial" w:hAnsi="Arial" w:cs="Arial"/>
          <w:sz w:val="24"/>
          <w:szCs w:val="24"/>
        </w:rPr>
        <w:t>Cordialmente,</w:t>
      </w:r>
    </w:p>
    <w:p w:rsidR="00735DAE" w:rsidRPr="00E37E68" w:rsidRDefault="00735DAE" w:rsidP="00E37E68">
      <w:pPr>
        <w:spacing w:line="360" w:lineRule="auto"/>
        <w:rPr>
          <w:rFonts w:ascii="Arial" w:hAnsi="Arial" w:cs="Arial"/>
          <w:sz w:val="24"/>
          <w:szCs w:val="24"/>
        </w:rPr>
      </w:pPr>
    </w:p>
    <w:p w:rsidR="003551ED" w:rsidRDefault="003551ED" w:rsidP="00735DAE">
      <w:pPr>
        <w:spacing w:line="240" w:lineRule="auto"/>
        <w:rPr>
          <w:rFonts w:ascii="Arial" w:hAnsi="Arial" w:cs="Arial"/>
          <w:b/>
          <w:sz w:val="24"/>
          <w:szCs w:val="24"/>
        </w:rPr>
      </w:pPr>
    </w:p>
    <w:p w:rsidR="00E37E68" w:rsidRPr="00E37E68" w:rsidRDefault="00E37E68" w:rsidP="00735DAE">
      <w:pPr>
        <w:spacing w:line="240" w:lineRule="auto"/>
        <w:rPr>
          <w:rFonts w:ascii="Arial" w:hAnsi="Arial" w:cs="Arial"/>
          <w:b/>
          <w:sz w:val="24"/>
          <w:szCs w:val="24"/>
        </w:rPr>
      </w:pPr>
      <w:r w:rsidRPr="00E37E68">
        <w:rPr>
          <w:rFonts w:ascii="Arial" w:hAnsi="Arial" w:cs="Arial"/>
          <w:b/>
          <w:sz w:val="24"/>
          <w:szCs w:val="24"/>
        </w:rPr>
        <w:t>FERNANDO TAMAYO TAMAYO</w:t>
      </w:r>
    </w:p>
    <w:p w:rsidR="00735DAE" w:rsidRDefault="00E37E68" w:rsidP="00735DAE">
      <w:pPr>
        <w:spacing w:line="240" w:lineRule="auto"/>
        <w:rPr>
          <w:rFonts w:ascii="Arial" w:hAnsi="Arial" w:cs="Arial"/>
          <w:sz w:val="24"/>
          <w:szCs w:val="24"/>
        </w:rPr>
      </w:pPr>
      <w:r w:rsidRPr="00E37E68">
        <w:rPr>
          <w:rFonts w:ascii="Arial" w:hAnsi="Arial" w:cs="Arial"/>
          <w:sz w:val="24"/>
          <w:szCs w:val="24"/>
        </w:rPr>
        <w:t>Senador de la República</w:t>
      </w:r>
    </w:p>
    <w:p w:rsidR="00735DAE" w:rsidRDefault="00735DAE" w:rsidP="00735DAE">
      <w:pPr>
        <w:spacing w:line="240" w:lineRule="auto"/>
        <w:jc w:val="center"/>
        <w:rPr>
          <w:rFonts w:ascii="Arial" w:hAnsi="Arial" w:cs="Arial"/>
          <w:sz w:val="24"/>
          <w:szCs w:val="24"/>
        </w:rPr>
      </w:pPr>
      <w:r>
        <w:rPr>
          <w:rFonts w:ascii="Agency FB" w:hAnsi="Agency FB"/>
          <w:b/>
          <w:noProof/>
          <w:sz w:val="32"/>
          <w:szCs w:val="32"/>
        </w:rPr>
        <w:drawing>
          <wp:inline distT="0" distB="0" distL="0" distR="0" wp14:anchorId="39B49372" wp14:editId="5F895FD8">
            <wp:extent cx="3657600" cy="262292"/>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091" cy="262255"/>
                    </a:xfrm>
                    <a:prstGeom prst="rect">
                      <a:avLst/>
                    </a:prstGeom>
                    <a:noFill/>
                    <a:ln>
                      <a:noFill/>
                    </a:ln>
                  </pic:spPr>
                </pic:pic>
              </a:graphicData>
            </a:graphic>
          </wp:inline>
        </w:drawing>
      </w:r>
    </w:p>
    <w:p w:rsidR="00735DAE" w:rsidRPr="00735DAE" w:rsidRDefault="00735DAE" w:rsidP="00735DAE">
      <w:pPr>
        <w:spacing w:after="0" w:line="240" w:lineRule="auto"/>
        <w:jc w:val="center"/>
        <w:rPr>
          <w:rFonts w:ascii="Arial" w:eastAsiaTheme="minorHAnsi" w:hAnsi="Arial"/>
          <w:b/>
          <w:bCs/>
          <w:sz w:val="20"/>
          <w:szCs w:val="20"/>
          <w:lang w:val="es-ES_tradnl" w:eastAsia="es-ES"/>
        </w:rPr>
      </w:pPr>
      <w:r w:rsidRPr="00735DAE">
        <w:rPr>
          <w:rFonts w:ascii="Arial" w:eastAsiaTheme="minorHAnsi" w:hAnsi="Arial"/>
          <w:b/>
          <w:bCs/>
          <w:sz w:val="20"/>
          <w:szCs w:val="20"/>
          <w:lang w:val="es-ES_tradnl" w:eastAsia="es-ES"/>
        </w:rPr>
        <w:t xml:space="preserve">Carrera 7 No. 8-68 Oficina 704 Edificio Nuevo del Congreso, </w:t>
      </w:r>
    </w:p>
    <w:p w:rsidR="00735DAE" w:rsidRPr="00735DAE" w:rsidRDefault="00735DAE" w:rsidP="00735DAE">
      <w:pPr>
        <w:spacing w:after="0" w:line="240" w:lineRule="auto"/>
        <w:jc w:val="center"/>
        <w:rPr>
          <w:rFonts w:ascii="Arial" w:eastAsiaTheme="minorHAnsi" w:hAnsi="Arial"/>
          <w:b/>
          <w:bCs/>
          <w:color w:val="000000" w:themeColor="text1"/>
          <w:sz w:val="20"/>
          <w:szCs w:val="20"/>
          <w:lang w:val="es-ES_tradnl" w:eastAsia="es-ES"/>
        </w:rPr>
      </w:pPr>
      <w:r w:rsidRPr="00735DAE">
        <w:rPr>
          <w:rFonts w:ascii="Arial" w:eastAsiaTheme="minorHAnsi" w:hAnsi="Arial"/>
          <w:b/>
          <w:bCs/>
          <w:sz w:val="20"/>
          <w:szCs w:val="20"/>
          <w:lang w:val="es-ES_tradnl" w:eastAsia="es-ES"/>
        </w:rPr>
        <w:t xml:space="preserve">Teléfonos: 3823547 Telefax: 3823210  e-mail: </w:t>
      </w:r>
      <w:hyperlink r:id="rId10" w:history="1">
        <w:r w:rsidRPr="00735DAE">
          <w:rPr>
            <w:rFonts w:ascii="Arial" w:eastAsiaTheme="minorHAnsi" w:hAnsi="Arial"/>
            <w:b/>
            <w:bCs/>
            <w:color w:val="000000" w:themeColor="text1"/>
            <w:sz w:val="20"/>
            <w:szCs w:val="20"/>
            <w:lang w:val="es-ES_tradnl" w:eastAsia="es-ES"/>
          </w:rPr>
          <w:t>ftamayo2p@yahoo.com</w:t>
        </w:r>
      </w:hyperlink>
      <w:r w:rsidRPr="00735DAE">
        <w:rPr>
          <w:rFonts w:ascii="Arial" w:eastAsiaTheme="minorHAnsi" w:hAnsi="Arial"/>
          <w:b/>
          <w:bCs/>
          <w:color w:val="000000" w:themeColor="text1"/>
          <w:sz w:val="20"/>
          <w:szCs w:val="20"/>
          <w:lang w:val="es-ES_tradnl" w:eastAsia="es-ES"/>
        </w:rPr>
        <w:t xml:space="preserve"> </w:t>
      </w:r>
    </w:p>
    <w:p w:rsidR="00735DAE" w:rsidRPr="00735DAE" w:rsidRDefault="00735DAE" w:rsidP="00735DAE">
      <w:pPr>
        <w:spacing w:after="0" w:line="240" w:lineRule="auto"/>
        <w:jc w:val="center"/>
        <w:rPr>
          <w:rFonts w:ascii="Agency FB" w:eastAsiaTheme="minorHAnsi" w:hAnsi="Agency FB"/>
          <w:b/>
          <w:sz w:val="32"/>
          <w:szCs w:val="32"/>
          <w:lang w:val="es-ES_tradnl" w:eastAsia="es-ES"/>
        </w:rPr>
      </w:pPr>
      <w:r w:rsidRPr="00735DAE">
        <w:rPr>
          <w:rFonts w:ascii="Arial" w:eastAsiaTheme="minorHAnsi" w:hAnsi="Arial"/>
          <w:b/>
          <w:bCs/>
          <w:sz w:val="20"/>
          <w:szCs w:val="20"/>
          <w:lang w:val="es-ES_tradnl" w:eastAsia="es-ES"/>
        </w:rPr>
        <w:t>Bogotá, D.C - Colombia</w:t>
      </w:r>
    </w:p>
    <w:p w:rsidR="00735DAE" w:rsidRDefault="00735DAE" w:rsidP="00735DAE">
      <w:pPr>
        <w:rPr>
          <w:rFonts w:ascii="Arial" w:hAnsi="Arial" w:cs="Arial"/>
          <w:sz w:val="24"/>
          <w:szCs w:val="24"/>
        </w:rPr>
      </w:pPr>
    </w:p>
    <w:p w:rsidR="003551ED" w:rsidRDefault="003551ED" w:rsidP="00735DAE">
      <w:pPr>
        <w:jc w:val="center"/>
        <w:rPr>
          <w:rFonts w:ascii="Arial" w:hAnsi="Arial" w:cs="Arial"/>
          <w:b/>
          <w:sz w:val="24"/>
          <w:szCs w:val="24"/>
        </w:rPr>
      </w:pPr>
    </w:p>
    <w:p w:rsidR="00280043" w:rsidRPr="00280043" w:rsidRDefault="00AA5A35" w:rsidP="00735DAE">
      <w:pPr>
        <w:jc w:val="center"/>
        <w:rPr>
          <w:rFonts w:ascii="Arial" w:hAnsi="Arial" w:cs="Arial"/>
          <w:b/>
          <w:sz w:val="24"/>
          <w:szCs w:val="24"/>
        </w:rPr>
      </w:pPr>
      <w:r>
        <w:rPr>
          <w:rFonts w:ascii="Arial" w:hAnsi="Arial" w:cs="Arial"/>
          <w:b/>
          <w:sz w:val="24"/>
          <w:szCs w:val="24"/>
        </w:rPr>
        <w:t>Proyecto de ley No.  070</w:t>
      </w:r>
      <w:r w:rsidR="00280043" w:rsidRPr="00280043">
        <w:rPr>
          <w:rFonts w:ascii="Arial" w:hAnsi="Arial" w:cs="Arial"/>
          <w:b/>
          <w:sz w:val="24"/>
          <w:szCs w:val="24"/>
        </w:rPr>
        <w:t xml:space="preserve">  de 2013 Senado</w:t>
      </w:r>
    </w:p>
    <w:p w:rsidR="00280043" w:rsidRPr="00280043" w:rsidRDefault="00280043" w:rsidP="00280043">
      <w:pPr>
        <w:jc w:val="center"/>
        <w:rPr>
          <w:rFonts w:ascii="Arial" w:hAnsi="Arial" w:cs="Arial"/>
          <w:b/>
          <w:sz w:val="24"/>
          <w:szCs w:val="24"/>
        </w:rPr>
      </w:pPr>
    </w:p>
    <w:p w:rsidR="00280043" w:rsidRPr="000A6BFF" w:rsidRDefault="00280043" w:rsidP="00280043">
      <w:pPr>
        <w:jc w:val="center"/>
        <w:rPr>
          <w:rFonts w:ascii="Arial" w:hAnsi="Arial" w:cs="Arial"/>
          <w:sz w:val="24"/>
          <w:szCs w:val="24"/>
        </w:rPr>
      </w:pPr>
      <w:r w:rsidRPr="000A6BFF">
        <w:rPr>
          <w:rFonts w:ascii="Arial" w:hAnsi="Arial" w:cs="Arial"/>
          <w:sz w:val="24"/>
          <w:szCs w:val="24"/>
        </w:rPr>
        <w:t>“Por la cual se establece el sistema de compensación a los municipios que se vean afectados con el desarrollo de proyectos hídricos productivos, y se dictan otras disposiciones”</w:t>
      </w:r>
    </w:p>
    <w:p w:rsidR="00280043" w:rsidRDefault="00280043" w:rsidP="00280043">
      <w:pPr>
        <w:jc w:val="center"/>
        <w:rPr>
          <w:rFonts w:ascii="Arial" w:hAnsi="Arial" w:cs="Arial"/>
          <w:b/>
          <w:sz w:val="24"/>
          <w:szCs w:val="24"/>
        </w:rPr>
      </w:pPr>
    </w:p>
    <w:p w:rsidR="00280043" w:rsidRPr="000A6BFF" w:rsidRDefault="00280043" w:rsidP="00280043">
      <w:pPr>
        <w:jc w:val="center"/>
        <w:rPr>
          <w:rFonts w:ascii="Arial" w:hAnsi="Arial" w:cs="Arial"/>
          <w:b/>
          <w:sz w:val="24"/>
          <w:szCs w:val="24"/>
        </w:rPr>
      </w:pPr>
      <w:r w:rsidRPr="000A6BFF">
        <w:rPr>
          <w:rFonts w:ascii="Arial" w:hAnsi="Arial" w:cs="Arial"/>
          <w:b/>
          <w:sz w:val="24"/>
          <w:szCs w:val="24"/>
        </w:rPr>
        <w:t>El Congreso de la República de Colombia</w:t>
      </w:r>
    </w:p>
    <w:p w:rsidR="00280043" w:rsidRPr="000A6BFF" w:rsidRDefault="00280043" w:rsidP="00280043">
      <w:pPr>
        <w:jc w:val="center"/>
        <w:rPr>
          <w:rFonts w:ascii="Arial" w:hAnsi="Arial" w:cs="Arial"/>
          <w:b/>
          <w:sz w:val="24"/>
          <w:szCs w:val="24"/>
        </w:rPr>
      </w:pPr>
      <w:r w:rsidRPr="000A6BFF">
        <w:rPr>
          <w:rFonts w:ascii="Arial" w:hAnsi="Arial" w:cs="Arial"/>
          <w:b/>
          <w:sz w:val="24"/>
          <w:szCs w:val="24"/>
        </w:rPr>
        <w:t>Decreta:</w:t>
      </w:r>
    </w:p>
    <w:p w:rsidR="00280043" w:rsidRPr="000A6BFF" w:rsidRDefault="00280043" w:rsidP="00280043">
      <w:pPr>
        <w:jc w:val="both"/>
        <w:rPr>
          <w:rFonts w:ascii="Arial" w:hAnsi="Arial" w:cs="Arial"/>
          <w:sz w:val="24"/>
          <w:szCs w:val="24"/>
        </w:rPr>
      </w:pPr>
      <w:r w:rsidRPr="000A6BFF">
        <w:rPr>
          <w:rFonts w:ascii="Arial" w:hAnsi="Arial" w:cs="Arial"/>
          <w:sz w:val="24"/>
          <w:szCs w:val="24"/>
        </w:rPr>
        <w:t xml:space="preserve">ARTICULO PRIMERO. </w:t>
      </w:r>
      <w:r w:rsidRPr="000A6BFF">
        <w:rPr>
          <w:rFonts w:ascii="Arial" w:hAnsi="Arial" w:cs="Arial"/>
          <w:b/>
          <w:sz w:val="24"/>
          <w:szCs w:val="24"/>
        </w:rPr>
        <w:t>Objeto</w:t>
      </w:r>
      <w:r w:rsidRPr="000A6BFF">
        <w:rPr>
          <w:rFonts w:ascii="Arial" w:hAnsi="Arial" w:cs="Arial"/>
          <w:sz w:val="24"/>
          <w:szCs w:val="24"/>
        </w:rPr>
        <w:t>. La presente ley tiene como fin primordial establecer un régimen de participación a título de compensación, a los municipios que se vean afectados con la explotación comercial de sus aguas naturales, como también la construcción de acueductos e hidroeléctricas. Adicionalmente dotándolos de algunas facultades, en coordinación con otros organismos del Estado, para exigir la implementación de medidas de protección y conservación de sus fuentes hídricas y, complementariamente definiendo un plan de adquisición de áreas productoras de estos recursos hídricos.</w:t>
      </w:r>
    </w:p>
    <w:p w:rsidR="00DB726D" w:rsidRDefault="00DB726D" w:rsidP="00280043">
      <w:pPr>
        <w:jc w:val="both"/>
        <w:rPr>
          <w:rFonts w:ascii="Arial" w:hAnsi="Arial" w:cs="Arial"/>
          <w:sz w:val="24"/>
          <w:szCs w:val="24"/>
        </w:rPr>
      </w:pPr>
    </w:p>
    <w:p w:rsidR="00280043" w:rsidRPr="00EA489A" w:rsidRDefault="00280043" w:rsidP="00280043">
      <w:pPr>
        <w:jc w:val="both"/>
        <w:rPr>
          <w:rFonts w:ascii="Arial" w:hAnsi="Arial" w:cs="Arial"/>
          <w:sz w:val="24"/>
          <w:szCs w:val="24"/>
        </w:rPr>
      </w:pPr>
      <w:r w:rsidRPr="000A6BFF">
        <w:rPr>
          <w:rFonts w:ascii="Arial" w:hAnsi="Arial" w:cs="Arial"/>
          <w:sz w:val="24"/>
          <w:szCs w:val="24"/>
        </w:rPr>
        <w:t xml:space="preserve">ARTICULO SEGUNDO. </w:t>
      </w:r>
      <w:r w:rsidRPr="000A6BFF">
        <w:rPr>
          <w:rFonts w:ascii="Arial" w:hAnsi="Arial" w:cs="Arial"/>
          <w:b/>
          <w:sz w:val="24"/>
          <w:szCs w:val="24"/>
        </w:rPr>
        <w:t>Sistema de compensación</w:t>
      </w:r>
      <w:r w:rsidRPr="000A6BFF">
        <w:rPr>
          <w:rFonts w:ascii="Arial" w:hAnsi="Arial" w:cs="Arial"/>
          <w:sz w:val="24"/>
          <w:szCs w:val="24"/>
        </w:rPr>
        <w:t>. En las Regiones donde se adelanten proyectos hídricos productivos de cualquier naturaleza, incluyendo acueductos, hidroeléctricas, explotación comercial de aguas naturales, o plantas de aguas residuales, que involucren recursos naturales y que se determine algún tipo de afectación por el desa</w:t>
      </w:r>
      <w:r>
        <w:rPr>
          <w:rFonts w:ascii="Arial" w:hAnsi="Arial" w:cs="Arial"/>
          <w:sz w:val="24"/>
          <w:szCs w:val="24"/>
        </w:rPr>
        <w:t xml:space="preserve">rrollo de </w:t>
      </w:r>
      <w:r w:rsidRPr="000A6BFF">
        <w:rPr>
          <w:rFonts w:ascii="Arial" w:hAnsi="Arial" w:cs="Arial"/>
          <w:sz w:val="24"/>
          <w:szCs w:val="24"/>
        </w:rPr>
        <w:t xml:space="preserve">tales proyectos, las Entidades encargadas de adelantarlos y desarrollarlos cualquiera que sea su naturaleza, deberán hacer partícipes a título de compensación a estos territorios, en proporción a su afectación, por los beneficios  sociales y económicos que se produzcan. </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ARTICULO TERCERO. Cuando con estos proyectos hídricos productivos se presten servicios públicos domiciliarios, y los mismos únicamente, produzcan beneficios de carácter social, se deberá contemplar como parte del costo de explotación del recurso natural, una tasa compensatoria del uno (1%) por ciento del total de la facturación. Recursos que se distribuirán entre los municipios afectados en los términos del presente artículo.</w:t>
      </w:r>
    </w:p>
    <w:p w:rsidR="00280043" w:rsidRPr="000A6BFF" w:rsidRDefault="00280043" w:rsidP="00280043">
      <w:pPr>
        <w:jc w:val="both"/>
        <w:rPr>
          <w:rFonts w:ascii="Arial" w:hAnsi="Arial" w:cs="Arial"/>
          <w:sz w:val="24"/>
          <w:szCs w:val="24"/>
        </w:rPr>
      </w:pPr>
      <w:r w:rsidRPr="000A6BFF">
        <w:rPr>
          <w:rFonts w:ascii="Arial" w:hAnsi="Arial" w:cs="Arial"/>
          <w:sz w:val="24"/>
          <w:szCs w:val="24"/>
        </w:rPr>
        <w:t xml:space="preserve">PARÁGRAFO. Esta tasa no será en ningún momento factor de incremento en los costos finales de facturación para los usuarios.  </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ARTICULO CUARTO. Cuando estos proyectos hídricos productivos se exploten con fines comerciales diferentes a los servicios públicos domiciliarios, se cobrará como tasa compensatoria el cuatro por ciento (4%), de las utilidades líquidas que se generen por la comercialización e industrialización del recurso hídrico.</w:t>
      </w:r>
    </w:p>
    <w:p w:rsidR="00280043" w:rsidRPr="000A6BFF" w:rsidRDefault="00280043" w:rsidP="00280043">
      <w:pPr>
        <w:jc w:val="both"/>
        <w:rPr>
          <w:rFonts w:ascii="Arial" w:hAnsi="Arial" w:cs="Arial"/>
          <w:sz w:val="24"/>
          <w:szCs w:val="24"/>
        </w:rPr>
      </w:pPr>
      <w:r w:rsidRPr="000A6BFF">
        <w:rPr>
          <w:rFonts w:ascii="Arial" w:hAnsi="Arial" w:cs="Arial"/>
          <w:sz w:val="24"/>
          <w:szCs w:val="24"/>
        </w:rPr>
        <w:t>PARÁGRAFO. El Ministerio de Ambiente y Desarrollo Sostenible determinará cuál es el grado de afectación de cada municipio, así como los porcentajes de participación a título</w:t>
      </w:r>
      <w:r>
        <w:rPr>
          <w:rFonts w:ascii="Arial" w:hAnsi="Arial" w:cs="Arial"/>
          <w:sz w:val="24"/>
          <w:szCs w:val="24"/>
        </w:rPr>
        <w:t xml:space="preserve"> de </w:t>
      </w:r>
      <w:r w:rsidRPr="000A6BFF">
        <w:rPr>
          <w:rFonts w:ascii="Arial" w:hAnsi="Arial" w:cs="Arial"/>
          <w:sz w:val="24"/>
          <w:szCs w:val="24"/>
        </w:rPr>
        <w:t>compensación que le han de corresponder a éstos. .</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ARTICULO QUINTO. Los proyectos hídricos productivos de cualquier naturaleza, incluyendo los acueductos, hidroeléctricas y otras fuentes de explotación comercial, que se desarrollen de ahora en adelante, o se hayan desarrollado con anterioridad a la presente ley, destinarán lo captado por concepto de las compensaciones que trata el presente articulado, a partir de la reglamentación que para tal fin expida el  Gobierno Nacional a través Ministerio de Ambiente y Desarrollo Sostenible, en la preservación, vigilancia y control de las áreas destinadas legalmente para éstos fines, e igualmente de acuerdo a lo que las autoridades de cada jurisdicción beneficiaria determine, en la mejora de la calidad de vida de sus habitantes.</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 xml:space="preserve">ARTICULO SEXTO. </w:t>
      </w:r>
      <w:r w:rsidRPr="000A6BFF">
        <w:rPr>
          <w:rFonts w:ascii="Arial" w:hAnsi="Arial" w:cs="Arial"/>
          <w:b/>
          <w:sz w:val="24"/>
          <w:szCs w:val="24"/>
        </w:rPr>
        <w:t>De las medidas para la protección de las fuentes hídricas</w:t>
      </w:r>
      <w:r w:rsidRPr="000A6BFF">
        <w:rPr>
          <w:rFonts w:ascii="Arial" w:hAnsi="Arial" w:cs="Arial"/>
          <w:sz w:val="24"/>
          <w:szCs w:val="24"/>
        </w:rPr>
        <w:t>. En los lugares donde se desarrollen proyectos hídricos de cualquier naturaleza, los municipios del área de influencia de estas activida</w:t>
      </w:r>
      <w:r>
        <w:rPr>
          <w:rFonts w:ascii="Arial" w:hAnsi="Arial" w:cs="Arial"/>
          <w:sz w:val="24"/>
          <w:szCs w:val="24"/>
        </w:rPr>
        <w:t xml:space="preserve">des, podrán </w:t>
      </w:r>
      <w:r w:rsidRPr="000A6BFF">
        <w:rPr>
          <w:rFonts w:ascii="Arial" w:hAnsi="Arial" w:cs="Arial"/>
          <w:sz w:val="24"/>
          <w:szCs w:val="24"/>
        </w:rPr>
        <w:t>revisar y sugerir en coordinación con la Corporación Autónoma Regional correspondiente a la jurisdicción, a las entidades que los desarrollan, la implementación de programas de conservación y tratamiento racional de sus fuentes hídricas.</w:t>
      </w:r>
    </w:p>
    <w:p w:rsidR="00280043" w:rsidRPr="000A6BFF" w:rsidRDefault="00280043" w:rsidP="00280043">
      <w:pPr>
        <w:jc w:val="both"/>
        <w:rPr>
          <w:rFonts w:ascii="Arial" w:hAnsi="Arial" w:cs="Arial"/>
          <w:sz w:val="24"/>
          <w:szCs w:val="24"/>
        </w:rPr>
      </w:pPr>
      <w:r w:rsidRPr="000A6BFF">
        <w:rPr>
          <w:rFonts w:ascii="Arial" w:hAnsi="Arial" w:cs="Arial"/>
          <w:sz w:val="24"/>
          <w:szCs w:val="24"/>
        </w:rPr>
        <w:t>Esta exigencia será de obligatorio cumplimiento para la entidad requerida y los programas que se adelanten serán concertados, y bajo la supervisión de la Corporación Autónoma Regional competente y los municipios que sufran la afectación</w:t>
      </w:r>
    </w:p>
    <w:p w:rsidR="00280043" w:rsidRPr="000A6BFF" w:rsidRDefault="00280043" w:rsidP="00280043">
      <w:pPr>
        <w:jc w:val="both"/>
        <w:rPr>
          <w:rFonts w:ascii="Arial" w:hAnsi="Arial" w:cs="Arial"/>
          <w:sz w:val="24"/>
          <w:szCs w:val="24"/>
        </w:rPr>
      </w:pPr>
      <w:r w:rsidRPr="000A6BFF">
        <w:rPr>
          <w:rFonts w:ascii="Arial" w:hAnsi="Arial" w:cs="Arial"/>
          <w:sz w:val="24"/>
          <w:szCs w:val="24"/>
        </w:rPr>
        <w:t xml:space="preserve">PARÁGRAFO. Si la Entidad requerida ya cuenta con programas de conservación y tratamiento racional de las fuentes hídricas, y éstos a juicio de la Corporación Autónoma Regional, en coordinación con los Municipios afectados son insuficientes, deberán adecuarse con las exigencias y en los plazos que estos entes determinen. </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 xml:space="preserve">ARTICULO SÉPTIMO. </w:t>
      </w:r>
      <w:r w:rsidRPr="000A6BFF">
        <w:rPr>
          <w:rFonts w:ascii="Arial" w:hAnsi="Arial" w:cs="Arial"/>
          <w:b/>
          <w:sz w:val="24"/>
          <w:szCs w:val="24"/>
        </w:rPr>
        <w:t>De la inspección y vigilancia.</w:t>
      </w:r>
      <w:r w:rsidRPr="000A6BFF">
        <w:rPr>
          <w:rFonts w:ascii="Arial" w:hAnsi="Arial" w:cs="Arial"/>
          <w:sz w:val="24"/>
          <w:szCs w:val="24"/>
        </w:rPr>
        <w:t xml:space="preserve"> Los Municipios que sufran alguna afectación  en sus recursos naturales como consecuencia  de la explotación en actividades productivas  hídricas que adelante cualquier Entidad, podrán inspeccionar en todo momento el manejo que se haga de estos recursos, en cuanto al tratamiento de sus fuentes, pudiendo emitir  conceptos  que al ser avaluados en conjunto con la CAR correspondiente, serán de obligatorio cumplimiento  para la entidad involucrada,  c</w:t>
      </w:r>
      <w:r>
        <w:rPr>
          <w:rFonts w:ascii="Arial" w:hAnsi="Arial" w:cs="Arial"/>
          <w:sz w:val="24"/>
          <w:szCs w:val="24"/>
        </w:rPr>
        <w:t xml:space="preserve">uando observen actuaciones  que </w:t>
      </w:r>
      <w:r w:rsidRPr="000A6BFF">
        <w:rPr>
          <w:rFonts w:ascii="Arial" w:hAnsi="Arial" w:cs="Arial"/>
          <w:sz w:val="24"/>
          <w:szCs w:val="24"/>
        </w:rPr>
        <w:t>atenten contra la conservación y  protección de  sus recursos naturales, especialmente en lo relacionado con las fuentes hídricas.</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 xml:space="preserve">ARTICULO OCTAVO. </w:t>
      </w:r>
      <w:r w:rsidRPr="000A6BFF">
        <w:rPr>
          <w:rFonts w:ascii="Arial" w:hAnsi="Arial" w:cs="Arial"/>
          <w:b/>
          <w:sz w:val="24"/>
          <w:szCs w:val="24"/>
        </w:rPr>
        <w:t>Sanciones</w:t>
      </w:r>
      <w:r w:rsidRPr="000A6BFF">
        <w:rPr>
          <w:rFonts w:ascii="Arial" w:hAnsi="Arial" w:cs="Arial"/>
          <w:sz w:val="24"/>
          <w:szCs w:val="24"/>
        </w:rPr>
        <w:t>. Cuando las Entidades encargadas de desarrollar proyectos hídricos productivos, sean requeridas por los municipios afectados, en coordinación con la CAR respectiva, para que implementen o adecuen programas, de acuerdo a lo indicado en el artículo anterior, y no lo hagan, serán objeto de sanciones pecuniarias sucesivas y progresivas que oscilarán entre los trescientos (300) y mil (1.000) salarios mínimos mensuales legales vigentes, hasta que den cumplimiento con esta exigencia.</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ARTICULO NOVENO. Las sanciones pecuniarias de que trata la presente ley serán impuestas y recaudadas por el Ministerio de Medio Ambiente  y Desarrollo Sostenible, el cual destinará los recursos percibidos por este concepto al financiamiento de programas y proyectos de conservación ambiental que se adelanten en los municipios afectados.</w:t>
      </w:r>
    </w:p>
    <w:p w:rsidR="00DB726D" w:rsidRDefault="00DB726D"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ARTICULO DECIMO. El Estado a través de sus Corporaciones Autónomas Regionales y el Ministerio de Ambiente y Desarrollo Sostenible, dentro de los seis meses siguientes a la promulgación de la presente ley, deberá establecer un plan para adquirir los predios que se hallen a nombre de particulares en áreas de conservación y producción de recursos hídricos.</w:t>
      </w:r>
    </w:p>
    <w:p w:rsidR="00280043" w:rsidRPr="000A6BFF" w:rsidRDefault="00280043" w:rsidP="00280043">
      <w:pPr>
        <w:jc w:val="both"/>
        <w:rPr>
          <w:rFonts w:ascii="Arial" w:hAnsi="Arial" w:cs="Arial"/>
          <w:sz w:val="24"/>
          <w:szCs w:val="24"/>
        </w:rPr>
      </w:pPr>
      <w:r w:rsidRPr="000A6BFF">
        <w:rPr>
          <w:rFonts w:ascii="Arial" w:hAnsi="Arial" w:cs="Arial"/>
          <w:sz w:val="24"/>
          <w:szCs w:val="24"/>
        </w:rPr>
        <w:t>ARTICULO UNDÉCIMO</w:t>
      </w:r>
      <w:r w:rsidRPr="000A6BFF">
        <w:rPr>
          <w:rFonts w:ascii="Arial" w:hAnsi="Arial" w:cs="Arial"/>
          <w:b/>
          <w:sz w:val="24"/>
          <w:szCs w:val="24"/>
        </w:rPr>
        <w:t>. Vigencia</w:t>
      </w:r>
      <w:r w:rsidRPr="000A6BFF">
        <w:rPr>
          <w:rFonts w:ascii="Arial" w:hAnsi="Arial" w:cs="Arial"/>
          <w:sz w:val="24"/>
          <w:szCs w:val="24"/>
        </w:rPr>
        <w:t>. La presente ley rige a partir de su promulgación y deroga todas las disposiciones que le sean contrarias.</w:t>
      </w:r>
    </w:p>
    <w:p w:rsidR="00280043" w:rsidRDefault="00280043"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r w:rsidRPr="000A6BFF">
        <w:rPr>
          <w:rFonts w:ascii="Arial" w:hAnsi="Arial" w:cs="Arial"/>
          <w:sz w:val="24"/>
          <w:szCs w:val="24"/>
        </w:rPr>
        <w:t>Cordialmente,</w:t>
      </w:r>
    </w:p>
    <w:p w:rsidR="00280043" w:rsidRPr="000A6BFF" w:rsidRDefault="00280043" w:rsidP="00280043">
      <w:pPr>
        <w:jc w:val="both"/>
        <w:rPr>
          <w:rFonts w:ascii="Arial" w:hAnsi="Arial" w:cs="Arial"/>
          <w:sz w:val="24"/>
          <w:szCs w:val="24"/>
        </w:rPr>
      </w:pPr>
    </w:p>
    <w:p w:rsidR="00280043" w:rsidRPr="000A6BFF" w:rsidRDefault="00280043" w:rsidP="00280043">
      <w:pPr>
        <w:jc w:val="both"/>
        <w:rPr>
          <w:rFonts w:ascii="Arial" w:hAnsi="Arial" w:cs="Arial"/>
          <w:sz w:val="24"/>
          <w:szCs w:val="24"/>
        </w:rPr>
      </w:pPr>
    </w:p>
    <w:p w:rsidR="00280043" w:rsidRDefault="00280043" w:rsidP="00280043">
      <w:pPr>
        <w:jc w:val="both"/>
        <w:rPr>
          <w:rFonts w:ascii="Arial" w:hAnsi="Arial" w:cs="Arial"/>
          <w:b/>
          <w:sz w:val="24"/>
          <w:szCs w:val="24"/>
        </w:rPr>
      </w:pPr>
      <w:r>
        <w:rPr>
          <w:rFonts w:ascii="Arial" w:hAnsi="Arial" w:cs="Arial"/>
          <w:b/>
          <w:sz w:val="24"/>
          <w:szCs w:val="24"/>
        </w:rPr>
        <w:t>FERNANDO TAMAYO TAMAYO</w:t>
      </w:r>
    </w:p>
    <w:p w:rsidR="00280043" w:rsidRPr="000A6BFF" w:rsidRDefault="00280043" w:rsidP="00280043">
      <w:pPr>
        <w:jc w:val="both"/>
        <w:rPr>
          <w:rFonts w:ascii="Arial" w:hAnsi="Arial" w:cs="Arial"/>
          <w:sz w:val="24"/>
          <w:szCs w:val="24"/>
        </w:rPr>
      </w:pPr>
      <w:r>
        <w:rPr>
          <w:rFonts w:ascii="Arial" w:hAnsi="Arial" w:cs="Arial"/>
          <w:sz w:val="24"/>
          <w:szCs w:val="24"/>
        </w:rPr>
        <w:t>Senador de la República</w:t>
      </w:r>
    </w:p>
    <w:p w:rsidR="00280043" w:rsidRPr="000A6BFF" w:rsidRDefault="00280043" w:rsidP="00280043">
      <w:pPr>
        <w:rPr>
          <w:rFonts w:ascii="Arial" w:hAnsi="Arial" w:cs="Arial"/>
          <w:b/>
          <w:sz w:val="24"/>
          <w:szCs w:val="24"/>
        </w:rPr>
      </w:pPr>
    </w:p>
    <w:p w:rsidR="00DB726D" w:rsidRDefault="00DB726D" w:rsidP="00DB726D">
      <w:pPr>
        <w:spacing w:line="360" w:lineRule="auto"/>
        <w:jc w:val="center"/>
        <w:rPr>
          <w:rFonts w:ascii="Arial" w:hAnsi="Arial" w:cs="Arial"/>
          <w:b/>
          <w:sz w:val="28"/>
          <w:szCs w:val="28"/>
        </w:rPr>
      </w:pPr>
    </w:p>
    <w:p w:rsidR="00DB726D" w:rsidRPr="00B55194" w:rsidRDefault="00DB726D" w:rsidP="00DB726D">
      <w:pPr>
        <w:spacing w:line="360" w:lineRule="auto"/>
        <w:jc w:val="center"/>
        <w:rPr>
          <w:rFonts w:ascii="Arial" w:hAnsi="Arial" w:cs="Arial"/>
          <w:b/>
          <w:sz w:val="28"/>
          <w:szCs w:val="28"/>
        </w:rPr>
      </w:pPr>
      <w:r w:rsidRPr="00B55194">
        <w:rPr>
          <w:rFonts w:ascii="Arial" w:hAnsi="Arial" w:cs="Arial"/>
          <w:b/>
          <w:sz w:val="28"/>
          <w:szCs w:val="28"/>
        </w:rPr>
        <w:t>Exposición de Motivos</w:t>
      </w:r>
    </w:p>
    <w:p w:rsidR="00DB726D" w:rsidRPr="00B55194" w:rsidRDefault="00DB726D" w:rsidP="00DB726D">
      <w:pPr>
        <w:spacing w:line="360" w:lineRule="auto"/>
        <w:jc w:val="center"/>
        <w:rPr>
          <w:rFonts w:ascii="Arial" w:hAnsi="Arial" w:cs="Arial"/>
          <w:b/>
          <w:sz w:val="28"/>
          <w:szCs w:val="28"/>
        </w:rPr>
      </w:pP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La presente iniciativa tiene como objeto fundamental establecer las medidas necesarias que garanticen la conservación de las fuentes hídricas naturales, haciendo partícipes en la elaboración, ejecución y seguimiento de los programas que se erijan en virtud de la presente norma a todos los  entes territoriales, principalmente a los  municipios que sufran una afectación directa en los recursos naturales relacionados con el agua, y que en la actualidad no cuentan con las herramientas necesarias que permitan conjurar las posibles irregularidades y mala utilización que se hace por parte de las Empresas o Instituciones  que los explotan. Además de crear un estímulo a manera de compensación por usufructo de los suelos y subsuelos en que se desarrollen proyectos productivos de explotación hídrica, especialmente fuentes de explotación comercial, acueductos e hidroeléctricas.</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En Colombia el desarrollo de proyectos hídricos productivos, es una de las fuentes de rendimientos más viables, toda vez que su  accionar por lo general se destina a la prestación de servicios públicos  domiciliarios (acueducto o energía), o la utilización del agua con fines comerciales, siendo notable su fortalecimiento económico para quienes prestan este servicio, las normas vigentes de preservación son insuficientes para crear auténticos parámetros de responsabilidad  social y ecológica en muchos de estos proyectos,  que atentan directamente contra la riqueza natural de los municipios afectados, y contra  los derechos colectivos de todos los colombianos.</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Haciendo un acopio de toda la normatividad sobre los recursos naturales en el país tenemos inicialmente el Código Nacional de Recursos Naturales Renovables y de Protección al Medio Ambiente (ley 2811 de 1974), inspirada en algunos principios de la Convención de Estocolmo del año 1992, para posteriormente aprobarse al ley 99 de 1993, que complementó la anterior. Seguidamente aparecieron otros importantes disposiciones como: Decreto ley 2811 de 1974, Decreto 1541 de 1978, Decreto 2857 de 1981, Decreto 1594 de 1984, Ley 79 de 1986, Decreto 048 de 2001, fuera de lo contemplado en el Código Civil (arts. 678 al 684 y 891 al 896). Además que, se ha considerado a la Constitución del 91 como la norma verde por su abundante normatividad respecto al medio ambiente, que exige de un juicioso desarrollo por parte del legislativo. Y si nos detenemos a estudiar todos las disposiciones legales vigentes, encontramos que las regiones productoras de agua en Colombia que aportan para resolver el abastecimiento de este indispensable líquido en la  subsistencia de nuestros nacionales, a través de acueductos e hidroeléctricas explotadas por Empresas oficiales o particulares de Servicios Públicos Domiciliarios, o la industrialización con fines ampliamente lucrativos, como lo son las embazadoras de agua potable, gaseosas o cervezas, en las tasas retributivas por utilización que se les cobran, no son beneficiarias en nada para estos territorios, especialmente a los municipios.</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Por ello se propone una tasa compensatoria a las regiones generadoras de agua para proyectos productivos, muy diferente a las tasas retributivas por servicios ambientales y por utilización de las aguas, establecidas principalmente en las leyes 2811/74 y 99/93.</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El presente proyecto de ley consagra una  serie de medidas de protección que se desarrolla en varios aspectos básicos a saber:</w:t>
      </w:r>
    </w:p>
    <w:p w:rsidR="00DB726D" w:rsidRPr="00B55194" w:rsidRDefault="00DB726D" w:rsidP="00DB726D">
      <w:pPr>
        <w:spacing w:line="360" w:lineRule="auto"/>
        <w:jc w:val="both"/>
        <w:rPr>
          <w:rFonts w:ascii="Arial" w:hAnsi="Arial" w:cs="Arial"/>
          <w:sz w:val="28"/>
          <w:szCs w:val="28"/>
        </w:rPr>
      </w:pPr>
    </w:p>
    <w:p w:rsidR="00DB726D" w:rsidRPr="00DB726D" w:rsidRDefault="00DB726D" w:rsidP="00DB726D">
      <w:pPr>
        <w:numPr>
          <w:ilvl w:val="0"/>
          <w:numId w:val="2"/>
        </w:numPr>
        <w:spacing w:after="0" w:line="360" w:lineRule="auto"/>
        <w:jc w:val="both"/>
        <w:rPr>
          <w:rFonts w:ascii="Arial" w:hAnsi="Arial" w:cs="Arial"/>
          <w:sz w:val="28"/>
          <w:szCs w:val="28"/>
        </w:rPr>
      </w:pPr>
      <w:r w:rsidRPr="00B55194">
        <w:rPr>
          <w:rFonts w:ascii="Arial" w:hAnsi="Arial" w:cs="Arial"/>
          <w:sz w:val="28"/>
          <w:szCs w:val="28"/>
        </w:rPr>
        <w:t>Establecer los parámetros de compensación para los municipios que se ven afectados en sus recursos hídricos naturales, en proporción a los beneficios sociales y económico</w:t>
      </w:r>
      <w:r>
        <w:rPr>
          <w:rFonts w:ascii="Arial" w:hAnsi="Arial" w:cs="Arial"/>
          <w:sz w:val="28"/>
          <w:szCs w:val="28"/>
        </w:rPr>
        <w:t xml:space="preserve">s que produzcan los proyectos  </w:t>
      </w:r>
      <w:r w:rsidRPr="00B55194">
        <w:rPr>
          <w:rFonts w:ascii="Arial" w:hAnsi="Arial" w:cs="Arial"/>
          <w:sz w:val="28"/>
          <w:szCs w:val="28"/>
        </w:rPr>
        <w:t>productivos  de tal naturaleza, como lo son la generación, transformación, conducción y comercialización de energía, lo mismo  que la producción  y conducción de agua potable, y su explotación  con fines industriales o comerciales.</w:t>
      </w:r>
    </w:p>
    <w:p w:rsidR="00DB726D" w:rsidRDefault="00DB726D" w:rsidP="00DB726D">
      <w:pPr>
        <w:numPr>
          <w:ilvl w:val="0"/>
          <w:numId w:val="2"/>
        </w:numPr>
        <w:spacing w:after="0" w:line="360" w:lineRule="auto"/>
        <w:jc w:val="both"/>
        <w:rPr>
          <w:rFonts w:ascii="Arial" w:hAnsi="Arial" w:cs="Arial"/>
          <w:sz w:val="28"/>
          <w:szCs w:val="28"/>
        </w:rPr>
      </w:pPr>
      <w:r w:rsidRPr="00B55194">
        <w:rPr>
          <w:rFonts w:ascii="Arial" w:hAnsi="Arial" w:cs="Arial"/>
          <w:sz w:val="28"/>
          <w:szCs w:val="28"/>
        </w:rPr>
        <w:t>Se faculta a los municipios que proporcionen sus recursos hídricos con la explotación y desarrollo de este tipo de proyectos, para que  puedan exigir  a las entidades  que los adelanten, la implementación  y ejecución de programas de conservación  y tratamiento racional  de las fuentes hídricas.</w:t>
      </w:r>
    </w:p>
    <w:p w:rsidR="00DB726D" w:rsidRPr="00DB726D" w:rsidRDefault="00DB726D" w:rsidP="00DB726D">
      <w:pPr>
        <w:numPr>
          <w:ilvl w:val="0"/>
          <w:numId w:val="2"/>
        </w:numPr>
        <w:spacing w:after="0" w:line="360" w:lineRule="auto"/>
        <w:jc w:val="both"/>
        <w:rPr>
          <w:rFonts w:ascii="Arial" w:hAnsi="Arial" w:cs="Arial"/>
          <w:sz w:val="28"/>
          <w:szCs w:val="28"/>
        </w:rPr>
      </w:pPr>
    </w:p>
    <w:p w:rsidR="00DB726D" w:rsidRPr="00B55194" w:rsidRDefault="00DB726D" w:rsidP="00DB726D">
      <w:pPr>
        <w:numPr>
          <w:ilvl w:val="0"/>
          <w:numId w:val="2"/>
        </w:numPr>
        <w:spacing w:after="0" w:line="360" w:lineRule="auto"/>
        <w:jc w:val="both"/>
        <w:rPr>
          <w:rFonts w:ascii="Arial" w:hAnsi="Arial" w:cs="Arial"/>
          <w:sz w:val="28"/>
          <w:szCs w:val="28"/>
        </w:rPr>
      </w:pPr>
      <w:r w:rsidRPr="00B55194">
        <w:rPr>
          <w:rFonts w:ascii="Arial" w:hAnsi="Arial" w:cs="Arial"/>
          <w:sz w:val="28"/>
          <w:szCs w:val="28"/>
        </w:rPr>
        <w:t>Se les confiere a los Municipios afectados   la facultad de inspección, así como la de emitir conceptos de obligatorio cumplimiento cuando denoten actuaciones que afecten  sus recursos hídricos.</w:t>
      </w:r>
    </w:p>
    <w:p w:rsidR="00DB726D" w:rsidRPr="00B55194" w:rsidRDefault="00DB726D" w:rsidP="00DB726D">
      <w:pPr>
        <w:pStyle w:val="Prrafodelista"/>
        <w:rPr>
          <w:rFonts w:ascii="Arial" w:hAnsi="Arial" w:cs="Arial"/>
          <w:sz w:val="28"/>
          <w:szCs w:val="28"/>
        </w:rPr>
      </w:pPr>
    </w:p>
    <w:p w:rsidR="00DB726D" w:rsidRPr="00B55194" w:rsidRDefault="00DB726D" w:rsidP="00DB726D">
      <w:pPr>
        <w:numPr>
          <w:ilvl w:val="0"/>
          <w:numId w:val="2"/>
        </w:numPr>
        <w:spacing w:after="0" w:line="360" w:lineRule="auto"/>
        <w:jc w:val="both"/>
        <w:rPr>
          <w:rFonts w:ascii="Arial" w:hAnsi="Arial" w:cs="Arial"/>
          <w:sz w:val="28"/>
          <w:szCs w:val="28"/>
        </w:rPr>
      </w:pPr>
      <w:r w:rsidRPr="00B55194">
        <w:rPr>
          <w:rFonts w:ascii="Arial" w:hAnsi="Arial" w:cs="Arial"/>
          <w:sz w:val="28"/>
          <w:szCs w:val="28"/>
        </w:rPr>
        <w:t>Se dota a los Municipios explotados en sus fuentes naturales de agua, con recursos para que contribuyan a la preservación, vigilancia y control de sus territorios, y puedan crear programas en el mejoramiento de vida de sus habitantes, como un justo reconocimiento por el aporte que a través de su suelo le otorgan a los demás localidades que usufructúan de este vital líquido, por cierto en vía de agotamiento por el mal uso que el hombre le ha y está dando.</w:t>
      </w:r>
    </w:p>
    <w:p w:rsidR="00DB726D" w:rsidRPr="00B55194" w:rsidRDefault="00DB726D" w:rsidP="00DB726D">
      <w:pPr>
        <w:spacing w:line="360" w:lineRule="auto"/>
        <w:jc w:val="both"/>
        <w:rPr>
          <w:rFonts w:ascii="Arial" w:hAnsi="Arial" w:cs="Arial"/>
          <w:sz w:val="28"/>
          <w:szCs w:val="28"/>
        </w:rPr>
      </w:pPr>
    </w:p>
    <w:p w:rsidR="00DB726D" w:rsidRPr="00B55194" w:rsidRDefault="00DB726D" w:rsidP="00DB726D">
      <w:pPr>
        <w:numPr>
          <w:ilvl w:val="0"/>
          <w:numId w:val="2"/>
        </w:numPr>
        <w:spacing w:after="0" w:line="360" w:lineRule="auto"/>
        <w:jc w:val="both"/>
        <w:rPr>
          <w:rFonts w:ascii="Arial" w:hAnsi="Arial" w:cs="Arial"/>
          <w:sz w:val="28"/>
          <w:szCs w:val="28"/>
        </w:rPr>
      </w:pPr>
      <w:r w:rsidRPr="00B55194">
        <w:rPr>
          <w:rFonts w:ascii="Arial" w:hAnsi="Arial" w:cs="Arial"/>
          <w:sz w:val="28"/>
          <w:szCs w:val="28"/>
        </w:rPr>
        <w:t>Se impone al Estado la obligación de establecer un plan de adquisición de predios en los que se encuentren las fuentes hídricas naturales, y que hasta hoy están en manos de particulares, con las sabidas consecuencias del mal uso y explotación que ha degenerado en la depredación y reducción de nuestra riqueza hídrica.</w:t>
      </w:r>
    </w:p>
    <w:p w:rsidR="00DB726D" w:rsidRPr="00B55194" w:rsidRDefault="00DB726D" w:rsidP="00DB726D">
      <w:pPr>
        <w:spacing w:line="360" w:lineRule="auto"/>
        <w:jc w:val="both"/>
        <w:rPr>
          <w:rFonts w:ascii="Arial" w:hAnsi="Arial" w:cs="Arial"/>
          <w:sz w:val="28"/>
          <w:szCs w:val="28"/>
        </w:rPr>
      </w:pP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 xml:space="preserve">Para poder ahondar en cada una de las garantías para la conservación de los recursos hídricos que se contemplan en el presente proyecto, es necesario establecer que se entiende por proyecto hídrico productivo: “toda actividad de explotación productiva que se desarrolle con base en los recursos hídricos, en especial cuando su objeto sea la prestación de un servicio público.”, una vez realizada la anterior  contextualización, nos permitimos  precisar, legal, social y constitucionalmente las  medidas de protección descritas en el presente proyecto. </w:t>
      </w:r>
    </w:p>
    <w:p w:rsidR="00DB726D" w:rsidRPr="00B55194" w:rsidRDefault="00DB726D" w:rsidP="00DB726D">
      <w:pPr>
        <w:spacing w:line="360" w:lineRule="auto"/>
        <w:jc w:val="both"/>
        <w:rPr>
          <w:rFonts w:ascii="Arial" w:hAnsi="Arial" w:cs="Arial"/>
          <w:b/>
          <w:sz w:val="28"/>
          <w:szCs w:val="28"/>
        </w:rPr>
      </w:pPr>
      <w:r w:rsidRPr="00B55194">
        <w:rPr>
          <w:rFonts w:ascii="Arial" w:hAnsi="Arial" w:cs="Arial"/>
          <w:b/>
          <w:sz w:val="28"/>
          <w:szCs w:val="28"/>
        </w:rPr>
        <w:t>Del contenido del articulado.</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 xml:space="preserve">El artículo primero de esta iniciativa delinea un objeto bastante concreto que    materializa la exigencia de normativa superior de integrar a todas las personas e instituciones de naturaleza pública o privada, en el desarrollo de programas de protección al medio ambiente,  que para el caso, se proyectan  en  garantizar la utilización y conservación de los recursos hídricos. Esta premisa de protección se estableció en el mandato constitucional en su artículo octavo que consagra la obligación del Estado y de todas las personas de proteger las riquezas naturales de la Nación. </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 xml:space="preserve">Consecuentemente el artículo 80 de nuestra Carta, determina la impostergable obligación del Estado de planificar el manejo y </w:t>
      </w:r>
      <w:r w:rsidRPr="00B55194">
        <w:rPr>
          <w:rFonts w:ascii="Arial" w:hAnsi="Arial" w:cs="Arial"/>
          <w:sz w:val="28"/>
          <w:szCs w:val="28"/>
          <w:u w:val="single"/>
        </w:rPr>
        <w:t>aprovechamiento de los recursos naturales   para garantizar  su desarrollo sostenible, su conservación y restauración</w:t>
      </w:r>
      <w:r w:rsidRPr="00B55194">
        <w:rPr>
          <w:rFonts w:ascii="Arial" w:hAnsi="Arial" w:cs="Arial"/>
          <w:sz w:val="28"/>
          <w:szCs w:val="28"/>
        </w:rPr>
        <w:t xml:space="preserve">, y si observamos el presente proyecto de ley,  no es otro que el  vivificar el sentir del constituyente, haciendo que  toda empresa o institución que adelante proyectos hídricos productivos o acueductos sea  responsable por la utilización. </w:t>
      </w:r>
    </w:p>
    <w:p w:rsidR="00DB726D" w:rsidRPr="00B55194" w:rsidRDefault="00DB726D" w:rsidP="00DB726D">
      <w:pPr>
        <w:tabs>
          <w:tab w:val="left" w:pos="3000"/>
        </w:tabs>
        <w:spacing w:line="360" w:lineRule="auto"/>
        <w:jc w:val="both"/>
        <w:rPr>
          <w:rFonts w:ascii="Arial" w:hAnsi="Arial" w:cs="Arial"/>
          <w:sz w:val="28"/>
          <w:szCs w:val="28"/>
        </w:rPr>
      </w:pPr>
      <w:r w:rsidRPr="00B55194">
        <w:rPr>
          <w:rFonts w:ascii="Arial" w:hAnsi="Arial" w:cs="Arial"/>
          <w:sz w:val="28"/>
          <w:szCs w:val="28"/>
        </w:rPr>
        <w:t>En el artículo segundo, se establece una compensación que las Instituciones o Empresas que desarrollen proyectos hídricos productivos, deben cumplir a favor de los municipios que se vean afectados en sus recursos hídricos  naturales, haciéndolos partícipes en proporción a su afectación de los beneficios sociales y económicos que se produzcan.</w:t>
      </w:r>
    </w:p>
    <w:p w:rsidR="00DB726D" w:rsidRPr="00B55194" w:rsidRDefault="00DB726D" w:rsidP="00DB726D">
      <w:pPr>
        <w:tabs>
          <w:tab w:val="left" w:pos="3000"/>
        </w:tabs>
        <w:spacing w:line="360" w:lineRule="auto"/>
        <w:jc w:val="both"/>
        <w:rPr>
          <w:rFonts w:ascii="Arial" w:hAnsi="Arial" w:cs="Arial"/>
          <w:sz w:val="28"/>
          <w:szCs w:val="28"/>
        </w:rPr>
      </w:pPr>
      <w:r w:rsidRPr="00B55194">
        <w:rPr>
          <w:rFonts w:ascii="Arial" w:hAnsi="Arial" w:cs="Arial"/>
          <w:sz w:val="28"/>
          <w:szCs w:val="28"/>
        </w:rPr>
        <w:t>El artículo tercero define claramente el valor de la tasa retributiva que las Empresas beneficiarias de la explotación, deben contribuir con aquellas regiones productivas que les permiten establecerse y usufructuar de su suelo y subsuelo con amplias utilidades y extraordinaria sostenibilidad en la prestación del servicio público domiciliario, pues nunca puede pensarse que una Institución de esta naturaleza deje de ser rentable, porque el solo hecho de proporcionar el líquido vital e imprescindible para el hombre, y la facultad que tienen para suspenderlo por falta de pago, le garantiza unos ingresos fijos poco probables de pérdida. Asunto que por su misma naturaleza social de ser indispensable en los hogares y evitando que sea materia de incremento en la facturación, se ha propuesto dejar en una tasa ínfima, pero muy importante para sus receptores. Además, de dejar muy en claro, en su parágrafo, que ninguna autoridad legitimada para regular o autorizar tarifas de servicios públicos domiciliarios, pueda establecer esta tasa compensatoria como factor para definir las tarifas.</w:t>
      </w:r>
    </w:p>
    <w:p w:rsidR="00DB726D" w:rsidRPr="00B55194" w:rsidRDefault="00DB726D" w:rsidP="00DB726D">
      <w:pPr>
        <w:tabs>
          <w:tab w:val="left" w:pos="3000"/>
        </w:tabs>
        <w:spacing w:line="360" w:lineRule="auto"/>
        <w:jc w:val="both"/>
        <w:rPr>
          <w:rFonts w:ascii="Arial" w:hAnsi="Arial" w:cs="Arial"/>
          <w:sz w:val="28"/>
          <w:szCs w:val="28"/>
        </w:rPr>
      </w:pPr>
      <w:r w:rsidRPr="00B55194">
        <w:rPr>
          <w:rFonts w:ascii="Arial" w:hAnsi="Arial" w:cs="Arial"/>
          <w:sz w:val="28"/>
          <w:szCs w:val="28"/>
        </w:rPr>
        <w:t>Con el propósito de establecer un mínimo equilibrio, aunque no rigurosamente justo, por lo rentable, en la fijación de una tasa compensatoria mayor, para las Empresas que utilizan los recursos naturales hídricos con fines netamente comerciales, no indispensables, como lo es la producción de agua envasada, cervezas, gaseosas, etc., muy diferente al servicio público domiciliarios, se propone  una mayor contribución, que justifica el lucro dejado por esta explotación, plasmado esto en el artículo cuarto.</w:t>
      </w:r>
    </w:p>
    <w:p w:rsidR="00DB726D" w:rsidRPr="00B55194" w:rsidRDefault="00DB726D" w:rsidP="00DB726D">
      <w:pPr>
        <w:tabs>
          <w:tab w:val="left" w:pos="3000"/>
        </w:tabs>
        <w:spacing w:line="360" w:lineRule="auto"/>
        <w:jc w:val="both"/>
        <w:rPr>
          <w:rFonts w:ascii="Arial" w:hAnsi="Arial" w:cs="Arial"/>
          <w:sz w:val="28"/>
          <w:szCs w:val="28"/>
        </w:rPr>
      </w:pPr>
      <w:r w:rsidRPr="00B55194">
        <w:rPr>
          <w:rFonts w:ascii="Arial" w:hAnsi="Arial" w:cs="Arial"/>
          <w:sz w:val="28"/>
          <w:szCs w:val="28"/>
        </w:rPr>
        <w:t>En virtud a las facultades que el ejecutivo posee para reglamentar las leyes de la república, el pagrágrafo propone que la distribución de los ingresos por este concepto deben ser determinadas por el Ministerio de Ambiente, en su justa y equitativa proporción de acuerdo al grado de afectación territorial y de explotación de sus fuentes naturales relacionadas con el tema hídrico.</w:t>
      </w:r>
    </w:p>
    <w:p w:rsidR="00DB726D" w:rsidRPr="00B55194" w:rsidRDefault="00DB726D" w:rsidP="00DB726D">
      <w:pPr>
        <w:tabs>
          <w:tab w:val="left" w:pos="3000"/>
        </w:tabs>
        <w:spacing w:line="360" w:lineRule="auto"/>
        <w:jc w:val="both"/>
        <w:rPr>
          <w:rFonts w:ascii="Arial" w:hAnsi="Arial" w:cs="Arial"/>
          <w:sz w:val="28"/>
          <w:szCs w:val="28"/>
        </w:rPr>
      </w:pPr>
      <w:r w:rsidRPr="00B55194">
        <w:rPr>
          <w:rFonts w:ascii="Arial" w:hAnsi="Arial" w:cs="Arial"/>
          <w:sz w:val="28"/>
          <w:szCs w:val="28"/>
        </w:rPr>
        <w:t>En la misma dirección el artículo quinto deja la facultad reglamentaria al Gobierno Nacional para que mediante el Ministerio de Ambiente establezca las disposiciones necesarias para controlar los recursos percibidos con destinación específica a la atención  de programas de preservación, saneamiento básico, vigilancia, control y  conservación del medio ambiente y agua potable, con importante énfasis en destinar parte de dichos ingresos en mejorar la calidad de vida de los habitantes en la jurisdicción productora.</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Este artículo sexto,  no solamente se sustenta en las dos máximas constitucionales precitadas al comienzo, ya que se irradia del  contenido de  los artículos 49,58, 79 y 95, los cuales entre otros postulados  establecen,  el derecho de  toda  persona a gozar de un ambiente sano y para tal fin, se impone al Estado el deber de proteger las  zonas de especial importancia ecológica y procurar el saneamiento ambiental, conceptos en los que se halla inmersa la protección a las fuentes hídricas, su aprovechamiento y conservación.</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 xml:space="preserve">Cuando  nuestra Carta Política determina que la propiedad  es una función social que implica obligaciones  y como tal le es inherente una función ecológica, con esta cláusula se condensa en todos nosotros el deber de velar por el medio ambiente y en especial por nuestras fuentes hídricas, más aún cuando se compagina este mandato con el contenido del artículo 95. C.P., en el que se  estipuló como responsabilidad de los colombianos el velar por nuestros recursos naturales. Como vemos la pretendida norma es una interpretación clara y eficiente de las exigencias que nuestra Constitución hace a todos los colombianos, tendiente a proteger el medio ambiente y las fuentes hídricas y hacer partícipes a toda la sociedad en el desarrollo de estas medidas, en especial cuando se involucra la utilización y conservación de los recursos naturales hídricos.  </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Una vez descrito el sistema de compensación a los municipios y determinada la utilización que se le debe dar a los recursos que se perciban por tal concepto, se hace necesario que se faculte a los municipios afectados, para que adicionalmente puedan exigir la implementación de programas de conservación y tratamiento racional de las fuentes hídricas, generándose así la responsabilidad social integral en el manejo de nuestros recursos naturales. Esta exigencia a las instituciones o Empresas que adelantan proyectos hídricos productivos o acueductos, permite la consolidación de un régimen sancionatorio cuando los sujetos obligados en el presente articulado no cumplan con este mandato legal, que se deja consagrado en los artículos séptimo  y octavo del proyecto.</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Toda medida será nugatoria cuando no se cuenta con la facultad de inspeccionar y  conceptuar, para así conocer los por menores  de la materia que se  pretende proteger, es  esta la razón por la cual  el séptimo de nuestro proyecto  establece la facultad de inspección  en todo momento  por parte de los municipios afectados  y en virtud de esta facultad  podrán emitir conceptos que serán de obligatorio cumplimiento por parte de las empresas  e instituciones que adelanten este tipo de proyectos , cuando de la inspección previa observen   irregularidades que afecten los  recurso hídricos de los municipios.</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Uno de los mayores problemas que afectan al país en materia de preservación de sus fuentes de aguas naturales es la no tenencia en propiedad, por parte del Estado, de las zonas donde se encuentran las fuentes de recursos hídricos, aunque se ha legislado sobre la autonomía que tiene el Gobierno de reglamentar el uso del suelo y subsuelo en todo el territorio nacional, restringiendo su explotación a manos de particulares, cuando el abastecimiento de aguas no se hace para la satisfacción de necesidades básicas personales o domésticas, es fundamental y definitivo establecer de una vez por todas un normativo que a corto y mediano plazo institucionalice la adquisición de todas las zonas de reserva hídrica del país. Aunque se nos puede decir que las CAR y el ministerio de Ambiente ya tiene establecidos algunos programas con este propósito, no son suficientes para prevenir el grave problema que tendremos como Nación y el mundo entero, cuando empiece a escasear el agua para consumo humano.</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Recordemos que Colombia es el cuarto país del Universo con el privilegio de ser  uno de los mayores productores de agua, con excelentes reservas futuras y si no exigimos una adecuada preservación, como bien jurídico susceptible de ser protegido, para que estos recursos naturales como el agua, sean instrumento de desarrollo y subsistencia de los seres humanos, tendremos el grave problema de sufrir su falta de prevención, y es a los podres públicos a quienes les corresponde  la misión de su salvaguardarlos, con medidas más rigurosas y efectivas.</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 xml:space="preserve">Para solventar tan crítica situación nos permitimos  presentar ante  los miembros del Honorable Congreso de la Republica, la presente iniciativa que pretende corregir  estas graves falencias que configuran una omisión en la responsabilidad del Estado y los particulares  en cuanto a la conservación del medio ambiente y la sostenibilidad del  recurso hídrico natural de vital importancia para la vida humana. </w:t>
      </w:r>
    </w:p>
    <w:p w:rsidR="00DB726D" w:rsidRPr="00B55194" w:rsidRDefault="00DB726D" w:rsidP="00DB726D">
      <w:pPr>
        <w:spacing w:line="360" w:lineRule="auto"/>
        <w:jc w:val="both"/>
        <w:rPr>
          <w:rFonts w:ascii="Arial" w:hAnsi="Arial" w:cs="Arial"/>
          <w:sz w:val="28"/>
          <w:szCs w:val="28"/>
        </w:rPr>
      </w:pPr>
      <w:r w:rsidRPr="00B55194">
        <w:rPr>
          <w:rFonts w:ascii="Arial" w:hAnsi="Arial" w:cs="Arial"/>
          <w:sz w:val="28"/>
          <w:szCs w:val="28"/>
        </w:rPr>
        <w:t xml:space="preserve">Las consideraciones anteriores nos permiten afirmar con toda validez que este proyecto presenta factores de conveniencia social, ambiental, constitucional y legal, permitiendo erigir una política pública de racionalización, utilización y conservación de nuestros recursos naturales hídricos. Es así por lo que solicitamos a los miembros del honorable Congreso de la República acoger la presente iniciativa para que cuando surta las exigencias constitucionales y legales, pueda ser ley de la república. </w:t>
      </w:r>
    </w:p>
    <w:p w:rsidR="00DB726D" w:rsidRPr="00B55194" w:rsidRDefault="00DB726D" w:rsidP="00DB726D">
      <w:pPr>
        <w:spacing w:line="360" w:lineRule="auto"/>
        <w:rPr>
          <w:rFonts w:ascii="Arial" w:hAnsi="Arial" w:cs="Arial"/>
          <w:sz w:val="28"/>
          <w:szCs w:val="28"/>
        </w:rPr>
      </w:pPr>
      <w:r w:rsidRPr="00B55194">
        <w:rPr>
          <w:rFonts w:ascii="Arial" w:hAnsi="Arial" w:cs="Arial"/>
          <w:sz w:val="28"/>
          <w:szCs w:val="28"/>
        </w:rPr>
        <w:t>Cordialmente,</w:t>
      </w:r>
    </w:p>
    <w:p w:rsidR="00DB726D" w:rsidRDefault="00DB726D" w:rsidP="00DB726D">
      <w:pPr>
        <w:spacing w:line="360" w:lineRule="auto"/>
        <w:rPr>
          <w:rFonts w:ascii="Arial" w:hAnsi="Arial" w:cs="Arial"/>
          <w:b/>
          <w:sz w:val="28"/>
          <w:szCs w:val="28"/>
        </w:rPr>
      </w:pPr>
    </w:p>
    <w:p w:rsidR="00DB726D" w:rsidRPr="00B55194" w:rsidRDefault="00DB726D" w:rsidP="00DB726D">
      <w:pPr>
        <w:spacing w:line="360" w:lineRule="auto"/>
        <w:rPr>
          <w:rFonts w:ascii="Arial" w:hAnsi="Arial" w:cs="Arial"/>
          <w:b/>
          <w:sz w:val="28"/>
          <w:szCs w:val="28"/>
        </w:rPr>
      </w:pPr>
      <w:r w:rsidRPr="00B55194">
        <w:rPr>
          <w:rFonts w:ascii="Arial" w:hAnsi="Arial" w:cs="Arial"/>
          <w:b/>
          <w:sz w:val="28"/>
          <w:szCs w:val="28"/>
        </w:rPr>
        <w:t>FERNANDO TAMAYO TAMAYO</w:t>
      </w:r>
    </w:p>
    <w:p w:rsidR="00DB726D" w:rsidRPr="00B55194" w:rsidRDefault="00DB726D" w:rsidP="00DB726D">
      <w:pPr>
        <w:spacing w:line="360" w:lineRule="auto"/>
        <w:rPr>
          <w:rFonts w:ascii="Arial" w:hAnsi="Arial" w:cs="Arial"/>
          <w:sz w:val="28"/>
          <w:szCs w:val="28"/>
        </w:rPr>
      </w:pPr>
      <w:r w:rsidRPr="00B55194">
        <w:rPr>
          <w:rFonts w:ascii="Arial" w:hAnsi="Arial" w:cs="Arial"/>
          <w:sz w:val="28"/>
          <w:szCs w:val="28"/>
        </w:rPr>
        <w:t>Senador de la República</w:t>
      </w:r>
    </w:p>
    <w:p w:rsidR="00DB726D" w:rsidRPr="00B55194" w:rsidRDefault="00DB726D" w:rsidP="00DB726D">
      <w:pPr>
        <w:spacing w:line="360" w:lineRule="auto"/>
        <w:rPr>
          <w:rFonts w:ascii="Arial" w:hAnsi="Arial" w:cs="Arial"/>
          <w:sz w:val="28"/>
          <w:szCs w:val="28"/>
        </w:rPr>
      </w:pPr>
    </w:p>
    <w:p w:rsidR="00C979D4" w:rsidRDefault="00521CFB"/>
    <w:sectPr w:rsidR="00C979D4" w:rsidSect="00280043">
      <w:headerReference w:type="default" r:id="rId11"/>
      <w:pgSz w:w="12240" w:h="15840" w:code="1"/>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CFB" w:rsidRDefault="00521CFB">
      <w:pPr>
        <w:spacing w:after="0" w:line="240" w:lineRule="auto"/>
      </w:pPr>
      <w:r>
        <w:separator/>
      </w:r>
    </w:p>
  </w:endnote>
  <w:endnote w:type="continuationSeparator" w:id="0">
    <w:p w:rsidR="00521CFB" w:rsidRDefault="00521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CFB" w:rsidRDefault="00521CFB">
      <w:pPr>
        <w:spacing w:after="0" w:line="240" w:lineRule="auto"/>
      </w:pPr>
      <w:r>
        <w:separator/>
      </w:r>
    </w:p>
  </w:footnote>
  <w:footnote w:type="continuationSeparator" w:id="0">
    <w:p w:rsidR="00521CFB" w:rsidRDefault="00521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657648"/>
      <w:docPartObj>
        <w:docPartGallery w:val="Page Numbers (Top of Page)"/>
        <w:docPartUnique/>
      </w:docPartObj>
    </w:sdtPr>
    <w:sdtEndPr/>
    <w:sdtContent>
      <w:p w:rsidR="001E1373" w:rsidRDefault="00C4599C">
        <w:pPr>
          <w:pStyle w:val="Encabezado"/>
          <w:jc w:val="right"/>
        </w:pPr>
        <w:r>
          <w:fldChar w:fldCharType="begin"/>
        </w:r>
        <w:r>
          <w:instrText>PAGE   \* MERGEFORMAT</w:instrText>
        </w:r>
        <w:r>
          <w:fldChar w:fldCharType="separate"/>
        </w:r>
        <w:r w:rsidR="00521CFB" w:rsidRPr="00521CFB">
          <w:rPr>
            <w:noProof/>
            <w:lang w:val="es-ES"/>
          </w:rPr>
          <w:t>1</w:t>
        </w:r>
        <w:r>
          <w:fldChar w:fldCharType="end"/>
        </w:r>
      </w:p>
    </w:sdtContent>
  </w:sdt>
  <w:p w:rsidR="00F478DE" w:rsidRDefault="00521C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53012"/>
    <w:multiLevelType w:val="hybridMultilevel"/>
    <w:tmpl w:val="61AC61A2"/>
    <w:lvl w:ilvl="0" w:tplc="EC949728">
      <w:start w:val="1"/>
      <w:numFmt w:val="upperRoman"/>
      <w:lvlText w:val="%1."/>
      <w:lvlJc w:val="righ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3C0034A"/>
    <w:multiLevelType w:val="hybridMultilevel"/>
    <w:tmpl w:val="CEF65F2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043"/>
    <w:rsid w:val="00280043"/>
    <w:rsid w:val="002F3E2D"/>
    <w:rsid w:val="003551ED"/>
    <w:rsid w:val="00521CFB"/>
    <w:rsid w:val="006034B7"/>
    <w:rsid w:val="006740AA"/>
    <w:rsid w:val="00731405"/>
    <w:rsid w:val="00735DAE"/>
    <w:rsid w:val="007B00CE"/>
    <w:rsid w:val="007E5059"/>
    <w:rsid w:val="007F3854"/>
    <w:rsid w:val="009B16C3"/>
    <w:rsid w:val="00AA5A35"/>
    <w:rsid w:val="00C4599C"/>
    <w:rsid w:val="00D97374"/>
    <w:rsid w:val="00DB726D"/>
    <w:rsid w:val="00DF16C2"/>
    <w:rsid w:val="00E23DF5"/>
    <w:rsid w:val="00E319A8"/>
    <w:rsid w:val="00E37E68"/>
    <w:rsid w:val="00E76FB1"/>
    <w:rsid w:val="00EA3CC0"/>
    <w:rsid w:val="00EE2299"/>
    <w:rsid w:val="00F940A7"/>
    <w:rsid w:val="00FE53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043"/>
    <w:rPr>
      <w:rFonts w:eastAsiaTheme="minorEastAsia"/>
      <w:lang w:val="es-CO" w:eastAsia="es-CO"/>
    </w:rPr>
  </w:style>
  <w:style w:type="paragraph" w:styleId="Ttulo1">
    <w:name w:val="heading 1"/>
    <w:basedOn w:val="Normal"/>
    <w:next w:val="Normal"/>
    <w:link w:val="Ttulo1Car"/>
    <w:qFormat/>
    <w:rsid w:val="00DF16C2"/>
    <w:pPr>
      <w:keepNext/>
      <w:keepLines/>
      <w:spacing w:before="240" w:after="60" w:line="360" w:lineRule="auto"/>
      <w:ind w:left="360" w:hanging="360"/>
      <w:outlineLvl w:val="0"/>
    </w:pPr>
    <w:rPr>
      <w:rFonts w:eastAsia="Times New Roman" w:cs="Times New Roman"/>
      <w:b/>
      <w:bCs/>
      <w:noProof/>
      <w:kern w:val="32"/>
      <w:sz w:val="28"/>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F16C2"/>
    <w:rPr>
      <w:rFonts w:ascii="Arial" w:eastAsia="Times New Roman" w:hAnsi="Arial" w:cs="Times New Roman"/>
      <w:b/>
      <w:bCs/>
      <w:noProof/>
      <w:kern w:val="32"/>
      <w:sz w:val="28"/>
      <w:szCs w:val="32"/>
      <w:lang w:val="es-CO"/>
    </w:rPr>
  </w:style>
  <w:style w:type="character" w:styleId="Textoennegrita">
    <w:name w:val="Strong"/>
    <w:basedOn w:val="Fuentedeprrafopredeter"/>
    <w:qFormat/>
    <w:rsid w:val="00DF16C2"/>
    <w:rPr>
      <w:b/>
      <w:bCs/>
    </w:rPr>
  </w:style>
  <w:style w:type="paragraph" w:styleId="Encabezado">
    <w:name w:val="header"/>
    <w:basedOn w:val="Normal"/>
    <w:link w:val="EncabezadoCar"/>
    <w:uiPriority w:val="99"/>
    <w:unhideWhenUsed/>
    <w:rsid w:val="002800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0043"/>
    <w:rPr>
      <w:rFonts w:eastAsiaTheme="minorEastAsia"/>
      <w:lang w:val="es-CO" w:eastAsia="es-CO"/>
    </w:rPr>
  </w:style>
  <w:style w:type="paragraph" w:styleId="Prrafodelista">
    <w:name w:val="List Paragraph"/>
    <w:basedOn w:val="Normal"/>
    <w:uiPriority w:val="34"/>
    <w:qFormat/>
    <w:rsid w:val="00DB726D"/>
    <w:pPr>
      <w:ind w:left="720"/>
      <w:contextualSpacing/>
    </w:pPr>
  </w:style>
  <w:style w:type="paragraph" w:styleId="Textodeglobo">
    <w:name w:val="Balloon Text"/>
    <w:basedOn w:val="Normal"/>
    <w:link w:val="TextodegloboCar"/>
    <w:uiPriority w:val="99"/>
    <w:semiHidden/>
    <w:unhideWhenUsed/>
    <w:rsid w:val="00E37E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7E68"/>
    <w:rPr>
      <w:rFonts w:ascii="Tahoma" w:eastAsiaTheme="minorEastAsia" w:hAnsi="Tahoma" w:cs="Tahoma"/>
      <w:sz w:val="16"/>
      <w:szCs w:val="16"/>
      <w:lang w:val="es-CO"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043"/>
    <w:rPr>
      <w:rFonts w:eastAsiaTheme="minorEastAsia"/>
      <w:lang w:val="es-CO" w:eastAsia="es-CO"/>
    </w:rPr>
  </w:style>
  <w:style w:type="paragraph" w:styleId="Ttulo1">
    <w:name w:val="heading 1"/>
    <w:basedOn w:val="Normal"/>
    <w:next w:val="Normal"/>
    <w:link w:val="Ttulo1Car"/>
    <w:qFormat/>
    <w:rsid w:val="00DF16C2"/>
    <w:pPr>
      <w:keepNext/>
      <w:keepLines/>
      <w:spacing w:before="240" w:after="60" w:line="360" w:lineRule="auto"/>
      <w:ind w:left="360" w:hanging="360"/>
      <w:outlineLvl w:val="0"/>
    </w:pPr>
    <w:rPr>
      <w:rFonts w:eastAsia="Times New Roman" w:cs="Times New Roman"/>
      <w:b/>
      <w:bCs/>
      <w:noProof/>
      <w:kern w:val="32"/>
      <w:sz w:val="28"/>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F16C2"/>
    <w:rPr>
      <w:rFonts w:ascii="Arial" w:eastAsia="Times New Roman" w:hAnsi="Arial" w:cs="Times New Roman"/>
      <w:b/>
      <w:bCs/>
      <w:noProof/>
      <w:kern w:val="32"/>
      <w:sz w:val="28"/>
      <w:szCs w:val="32"/>
      <w:lang w:val="es-CO"/>
    </w:rPr>
  </w:style>
  <w:style w:type="character" w:styleId="Textoennegrita">
    <w:name w:val="Strong"/>
    <w:basedOn w:val="Fuentedeprrafopredeter"/>
    <w:qFormat/>
    <w:rsid w:val="00DF16C2"/>
    <w:rPr>
      <w:b/>
      <w:bCs/>
    </w:rPr>
  </w:style>
  <w:style w:type="paragraph" w:styleId="Encabezado">
    <w:name w:val="header"/>
    <w:basedOn w:val="Normal"/>
    <w:link w:val="EncabezadoCar"/>
    <w:uiPriority w:val="99"/>
    <w:unhideWhenUsed/>
    <w:rsid w:val="002800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0043"/>
    <w:rPr>
      <w:rFonts w:eastAsiaTheme="minorEastAsia"/>
      <w:lang w:val="es-CO" w:eastAsia="es-CO"/>
    </w:rPr>
  </w:style>
  <w:style w:type="paragraph" w:styleId="Prrafodelista">
    <w:name w:val="List Paragraph"/>
    <w:basedOn w:val="Normal"/>
    <w:uiPriority w:val="34"/>
    <w:qFormat/>
    <w:rsid w:val="00DB726D"/>
    <w:pPr>
      <w:ind w:left="720"/>
      <w:contextualSpacing/>
    </w:pPr>
  </w:style>
  <w:style w:type="paragraph" w:styleId="Textodeglobo">
    <w:name w:val="Balloon Text"/>
    <w:basedOn w:val="Normal"/>
    <w:link w:val="TextodegloboCar"/>
    <w:uiPriority w:val="99"/>
    <w:semiHidden/>
    <w:unhideWhenUsed/>
    <w:rsid w:val="00E37E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7E68"/>
    <w:rPr>
      <w:rFonts w:ascii="Tahoma" w:eastAsiaTheme="minorEastAsia" w:hAnsi="Tahoma" w:cs="Tahoma"/>
      <w:sz w:val="16"/>
      <w:szCs w:val="16"/>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tamayo2p@yahoo.com"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3402</Words>
  <Characters>18715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cp:lastPrinted>2013-08-29T17:55:00Z</cp:lastPrinted>
  <dcterms:created xsi:type="dcterms:W3CDTF">2013-08-29T17:14:00Z</dcterms:created>
  <dcterms:modified xsi:type="dcterms:W3CDTF">2013-08-29T17:55:00Z</dcterms:modified>
</cp:coreProperties>
</file>