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525A" w:rsidRDefault="0044525A" w:rsidP="0044525A">
      <w:pPr>
        <w:pStyle w:val="NormalWeb"/>
        <w:jc w:val="center"/>
      </w:pPr>
      <w:r>
        <w:rPr>
          <w:rStyle w:val="Textoennegrita"/>
          <w:color w:val="191970"/>
        </w:rPr>
        <w:t xml:space="preserve">PROYECTO DE LEY 164 DE 2013 SENADO. </w:t>
      </w:r>
    </w:p>
    <w:p w:rsidR="0044525A" w:rsidRDefault="0044525A" w:rsidP="0044525A">
      <w:pPr>
        <w:jc w:val="center"/>
      </w:pPr>
      <w:proofErr w:type="gramStart"/>
      <w:r>
        <w:t>por</w:t>
      </w:r>
      <w:proofErr w:type="gramEnd"/>
      <w:r>
        <w:t xml:space="preserve"> medio de la cual se modifica el literal b), numeral 3 del artículo 15 de la Ley 91 de 1989. </w:t>
      </w:r>
    </w:p>
    <w:p w:rsidR="0044525A" w:rsidRDefault="0044525A" w:rsidP="0044525A">
      <w:pPr>
        <w:adjustRightInd w:val="0"/>
        <w:spacing w:after="28" w:line="288" w:lineRule="auto"/>
        <w:jc w:val="center"/>
        <w:textAlignment w:val="center"/>
        <w:rPr>
          <w:rFonts w:ascii="Bookman Old Style" w:hAnsi="Bookman Old Style"/>
          <w:color w:val="000000"/>
          <w:lang w:val="es-ES_tradnl"/>
        </w:rPr>
      </w:pPr>
      <w:r>
        <w:rPr>
          <w:rFonts w:ascii="Bookman Old Style" w:hAnsi="Bookman Old Style"/>
          <w:color w:val="000000"/>
          <w:lang w:val="es-ES_tradnl"/>
        </w:rPr>
        <w:t>El Congreso de Colombia</w:t>
      </w:r>
    </w:p>
    <w:p w:rsidR="0044525A" w:rsidRDefault="0044525A" w:rsidP="0044525A">
      <w:pPr>
        <w:jc w:val="center"/>
        <w:rPr>
          <w:rFonts w:ascii="Bookman Old Style" w:hAnsi="Bookman Old Style"/>
          <w:color w:val="000000"/>
          <w:lang w:val="es-ES_tradnl"/>
        </w:rPr>
      </w:pPr>
      <w:r>
        <w:rPr>
          <w:rFonts w:ascii="Bookman Old Style" w:hAnsi="Bookman Old Style"/>
          <w:color w:val="000000"/>
          <w:lang w:val="es-ES_tradnl"/>
        </w:rPr>
        <w:t>DECRETA:</w:t>
      </w:r>
    </w:p>
    <w:p w:rsidR="0044525A" w:rsidRDefault="0044525A" w:rsidP="0044525A">
      <w:pPr>
        <w:adjustRightInd w:val="0"/>
        <w:spacing w:after="28" w:line="288" w:lineRule="auto"/>
        <w:ind w:firstLine="283"/>
        <w:jc w:val="both"/>
        <w:textAlignment w:val="center"/>
        <w:rPr>
          <w:rFonts w:ascii="Bookman Old Style" w:hAnsi="Bookman Old Style"/>
          <w:color w:val="000000"/>
          <w:lang w:val="es-ES_tradnl"/>
        </w:rPr>
      </w:pPr>
      <w:r>
        <w:rPr>
          <w:rFonts w:ascii="Bookman Old Style" w:hAnsi="Bookman Old Style"/>
          <w:color w:val="000000"/>
          <w:lang w:val="es-ES_tradnl"/>
        </w:rPr>
        <w:t xml:space="preserve">Artículo 1°. El literal b), numeral 3 del artículo 15 de la Ley 91 de 1989, quedará así: </w:t>
      </w:r>
    </w:p>
    <w:p w:rsidR="0044525A" w:rsidRDefault="0044525A" w:rsidP="0044525A">
      <w:pPr>
        <w:adjustRightInd w:val="0"/>
        <w:spacing w:after="28" w:line="288" w:lineRule="auto"/>
        <w:ind w:firstLine="283"/>
        <w:jc w:val="both"/>
        <w:textAlignment w:val="center"/>
        <w:rPr>
          <w:rFonts w:ascii="Bookman Old Style" w:hAnsi="Bookman Old Style"/>
          <w:color w:val="000000"/>
          <w:lang w:val="es-ES_tradnl"/>
        </w:rPr>
      </w:pPr>
      <w:r>
        <w:rPr>
          <w:rFonts w:ascii="Bookman Old Style" w:hAnsi="Bookman Old Style"/>
          <w:b/>
          <w:bCs/>
          <w:color w:val="000000"/>
          <w:lang w:val="es-ES_tradnl"/>
        </w:rPr>
        <w:t>b)</w:t>
      </w:r>
      <w:r>
        <w:rPr>
          <w:rFonts w:ascii="Bookman Old Style" w:hAnsi="Bookman Old Style"/>
          <w:color w:val="000000"/>
          <w:lang w:val="es-ES_tradnl"/>
        </w:rPr>
        <w:t xml:space="preserve"> Para los docentes que se vinculen a partir del 1° de enero de 1990 y para los docentes nacionales vinculados con anterioridad a dicha fecha, pero solo con respecto a las cesantías generadas a partir del 1° de enero de 1990, el Fondo Nacional de Prestaciones Sociales del Magisterio, reconocerá y pagará un interés anual sobre el saldo de estas cesantías existentes al 31 de diciembre de cada año, liquidadas anualmente y sin retroactividad, el cual será del doce por ciento (12%) como mínimo o la suma, si esta fuere superior, que resulte de aplicar la tasa de interés que de acuerdo con la certificación de la Superintendencia Bancaria haya sido la comercial promedio de captación del sistema financiero durante el mismo periodo. </w:t>
      </w:r>
    </w:p>
    <w:p w:rsidR="0044525A" w:rsidRDefault="0044525A" w:rsidP="0044525A">
      <w:pPr>
        <w:adjustRightInd w:val="0"/>
        <w:spacing w:after="28" w:line="288" w:lineRule="auto"/>
        <w:ind w:firstLine="283"/>
        <w:jc w:val="both"/>
        <w:textAlignment w:val="center"/>
        <w:rPr>
          <w:rFonts w:ascii="Bookman Old Style" w:hAnsi="Bookman Old Style"/>
          <w:color w:val="000000"/>
          <w:lang w:val="es-ES_tradnl"/>
        </w:rPr>
      </w:pPr>
      <w:r>
        <w:rPr>
          <w:rFonts w:ascii="Bookman Old Style" w:hAnsi="Bookman Old Style"/>
          <w:color w:val="000000"/>
          <w:lang w:val="es-ES_tradnl"/>
        </w:rPr>
        <w:t xml:space="preserve">La cancelación de los intereses a los docentes, sobre el saldo de cesantías existentes a 31 de diciembre de cada año, se pagará antes del 15 de febrero del año siguiente al de su causación. La sanción por mora en el pago de estos, consistirá en un día de salario por cada día de retardo, la cual será pagada por la entidad territorial certificada, sin perjuicio del ejercicio de la acción de repetición y las acciones disciplinarias contra el o los funcionarios responsables de la mora. </w:t>
      </w:r>
    </w:p>
    <w:p w:rsidR="0044525A" w:rsidRDefault="0044525A" w:rsidP="0044525A">
      <w:pPr>
        <w:adjustRightInd w:val="0"/>
        <w:spacing w:after="28" w:line="288" w:lineRule="auto"/>
        <w:ind w:firstLine="283"/>
        <w:jc w:val="both"/>
        <w:textAlignment w:val="center"/>
        <w:rPr>
          <w:rFonts w:ascii="Bookman Old Style" w:hAnsi="Bookman Old Style"/>
          <w:color w:val="000000"/>
          <w:lang w:val="es-ES_tradnl"/>
        </w:rPr>
      </w:pPr>
      <w:r>
        <w:rPr>
          <w:rFonts w:ascii="Bookman Old Style" w:hAnsi="Bookman Old Style"/>
          <w:color w:val="000000"/>
          <w:lang w:val="es-ES_tradnl"/>
        </w:rPr>
        <w:t xml:space="preserve">Artículo 2°. La presente ley rige a partir de la fecha de su promulgación y deroga todas las disposiciones que le sean contrarias. </w:t>
      </w:r>
    </w:p>
    <w:p w:rsidR="0044525A" w:rsidRDefault="0044525A" w:rsidP="0044525A">
      <w:pPr>
        <w:adjustRightInd w:val="0"/>
        <w:spacing w:after="28" w:line="288" w:lineRule="auto"/>
        <w:ind w:firstLine="283"/>
        <w:jc w:val="both"/>
        <w:textAlignment w:val="center"/>
        <w:rPr>
          <w:rFonts w:ascii="Bookman Old Style" w:hAnsi="Bookman Old Style"/>
          <w:color w:val="000000"/>
          <w:lang w:val="es-ES_tradnl"/>
        </w:rPr>
      </w:pPr>
      <w:r>
        <w:rPr>
          <w:rFonts w:ascii="Bookman Old Style" w:hAnsi="Bookman Old Style"/>
          <w:color w:val="000000"/>
          <w:lang w:val="es-ES_tradnl"/>
        </w:rPr>
        <w:t>Autores,</w:t>
      </w:r>
    </w:p>
    <w:p w:rsidR="0044525A" w:rsidRDefault="0044525A" w:rsidP="0044525A">
      <w:pPr>
        <w:adjustRightInd w:val="0"/>
        <w:spacing w:before="28" w:after="28" w:line="288" w:lineRule="auto"/>
        <w:ind w:firstLine="283"/>
        <w:jc w:val="both"/>
        <w:textAlignment w:val="center"/>
        <w:rPr>
          <w:rFonts w:ascii="Bookman Old Style" w:hAnsi="Bookman Old Style"/>
          <w:color w:val="000000"/>
          <w:spacing w:val="-5"/>
          <w:lang w:val="es-ES_tradnl"/>
        </w:rPr>
      </w:pPr>
      <w:r>
        <w:rPr>
          <w:rFonts w:ascii="Bookman Old Style" w:hAnsi="Bookman Old Style"/>
          <w:i/>
          <w:iCs/>
          <w:color w:val="000000"/>
          <w:spacing w:val="-5"/>
          <w:lang w:val="es-ES_tradnl"/>
        </w:rPr>
        <w:t xml:space="preserve">Jorge Eliécer Guevara, </w:t>
      </w:r>
      <w:r>
        <w:rPr>
          <w:rFonts w:ascii="Bookman Old Style" w:hAnsi="Bookman Old Style"/>
          <w:color w:val="000000"/>
          <w:spacing w:val="-5"/>
          <w:lang w:val="es-ES_tradnl"/>
        </w:rPr>
        <w:t xml:space="preserve">Senador de la República; </w:t>
      </w:r>
      <w:r>
        <w:rPr>
          <w:rFonts w:ascii="Bookman Old Style" w:hAnsi="Bookman Old Style"/>
          <w:i/>
          <w:iCs/>
          <w:color w:val="000000"/>
          <w:spacing w:val="-5"/>
          <w:lang w:val="es-ES_tradnl"/>
        </w:rPr>
        <w:t xml:space="preserve">Bérner Zambrano Erazo, </w:t>
      </w:r>
      <w:r>
        <w:rPr>
          <w:rFonts w:ascii="Bookman Old Style" w:hAnsi="Bookman Old Style"/>
          <w:color w:val="000000"/>
          <w:spacing w:val="-5"/>
          <w:lang w:val="es-ES_tradnl"/>
        </w:rPr>
        <w:t>Representante a la Cámara</w:t>
      </w:r>
      <w:proofErr w:type="gramStart"/>
      <w:r>
        <w:rPr>
          <w:rFonts w:ascii="Bookman Old Style" w:hAnsi="Bookman Old Style"/>
          <w:color w:val="000000"/>
          <w:spacing w:val="-5"/>
          <w:lang w:val="es-ES_tradnl"/>
        </w:rPr>
        <w:t>.&lt;</w:t>
      </w:r>
      <w:proofErr w:type="gramEnd"/>
      <w:r>
        <w:rPr>
          <w:rFonts w:ascii="Bookman Old Style" w:hAnsi="Bookman Old Style"/>
          <w:color w:val="000000"/>
          <w:spacing w:val="-5"/>
          <w:lang w:val="es-ES_tradnl"/>
        </w:rPr>
        <w:t xml:space="preserve"> /st1:PersonName&gt; </w:t>
      </w:r>
    </w:p>
    <w:p w:rsidR="0044525A" w:rsidRDefault="0044525A" w:rsidP="0044525A">
      <w:pPr>
        <w:adjustRightInd w:val="0"/>
        <w:spacing w:before="28" w:after="28" w:line="288" w:lineRule="auto"/>
        <w:jc w:val="center"/>
        <w:textAlignment w:val="center"/>
        <w:rPr>
          <w:rFonts w:ascii="Bookman Old Style" w:hAnsi="Bookman Old Style"/>
          <w:b/>
          <w:bCs/>
          <w:color w:val="000000"/>
          <w:lang w:val="es-ES_tradnl"/>
        </w:rPr>
      </w:pPr>
    </w:p>
    <w:p w:rsidR="0044525A" w:rsidRDefault="0044525A" w:rsidP="0044525A">
      <w:pPr>
        <w:adjustRightInd w:val="0"/>
        <w:spacing w:before="28" w:after="28" w:line="288" w:lineRule="auto"/>
        <w:jc w:val="center"/>
        <w:textAlignment w:val="center"/>
        <w:rPr>
          <w:rFonts w:ascii="Bookman Old Style" w:hAnsi="Bookman Old Style"/>
          <w:b/>
          <w:bCs/>
          <w:color w:val="000000"/>
          <w:lang w:val="es-ES_tradnl"/>
        </w:rPr>
      </w:pPr>
      <w:r>
        <w:rPr>
          <w:rFonts w:ascii="Bookman Old Style" w:hAnsi="Bookman Old Style"/>
          <w:b/>
          <w:bCs/>
          <w:color w:val="000000"/>
          <w:lang w:val="es-ES_tradnl"/>
        </w:rPr>
        <w:t>EXPOSICIÓN DE MOTIVOS</w:t>
      </w:r>
    </w:p>
    <w:p w:rsidR="0044525A" w:rsidRDefault="0044525A" w:rsidP="0044525A">
      <w:pPr>
        <w:adjustRightInd w:val="0"/>
        <w:spacing w:before="28" w:after="28" w:line="288" w:lineRule="auto"/>
        <w:jc w:val="center"/>
        <w:textAlignment w:val="center"/>
        <w:rPr>
          <w:rFonts w:ascii="Bookman Old Style" w:hAnsi="Bookman Old Style"/>
          <w:b/>
          <w:bCs/>
          <w:color w:val="000000"/>
          <w:lang w:val="es-ES_tradnl"/>
        </w:rPr>
      </w:pPr>
      <w:r>
        <w:rPr>
          <w:rFonts w:ascii="Bookman Old Style" w:hAnsi="Bookman Old Style"/>
          <w:color w:val="000000"/>
          <w:lang w:val="es-ES_tradnl"/>
        </w:rPr>
        <w:t>I.</w:t>
      </w:r>
      <w:r>
        <w:rPr>
          <w:rFonts w:ascii="Bookman Old Style" w:hAnsi="Bookman Old Style"/>
          <w:b/>
          <w:bCs/>
          <w:color w:val="000000"/>
          <w:lang w:val="es-ES_tradnl"/>
        </w:rPr>
        <w:t xml:space="preserve"> OBJETO DEL PROYECTO DE LEY </w:t>
      </w:r>
    </w:p>
    <w:p w:rsidR="0044525A" w:rsidRDefault="0044525A" w:rsidP="0044525A">
      <w:pPr>
        <w:adjustRightInd w:val="0"/>
        <w:spacing w:before="28" w:after="28" w:line="288" w:lineRule="auto"/>
        <w:ind w:firstLine="283"/>
        <w:jc w:val="both"/>
        <w:textAlignment w:val="center"/>
        <w:rPr>
          <w:rFonts w:ascii="Bookman Old Style" w:hAnsi="Bookman Old Style"/>
          <w:color w:val="000000"/>
          <w:lang w:val="es-ES_tradnl"/>
        </w:rPr>
      </w:pPr>
      <w:r>
        <w:rPr>
          <w:rFonts w:ascii="Bookman Old Style" w:hAnsi="Bookman Old Style"/>
          <w:color w:val="000000"/>
          <w:lang w:val="es-ES_tradnl"/>
        </w:rPr>
        <w:t xml:space="preserve">El presente proyecto de ley tiene por objeto modificar el ordinal b), del numeral 3 del artículo 15 de la Ley 91 de 1989, en el sentido de liquidar los intereses anuales de las cesantías para los docentes oficiales, como se liquidan actualmente para el resto de trabajadores del país, de acuerdo a la ley laboral de carácter general, específicamente el numeral 2 del artículo 99 de la Ley 50 de 1990. </w:t>
      </w:r>
    </w:p>
    <w:p w:rsidR="0044525A" w:rsidRDefault="0044525A" w:rsidP="0044525A">
      <w:pPr>
        <w:adjustRightInd w:val="0"/>
        <w:spacing w:before="28" w:after="28" w:line="288" w:lineRule="auto"/>
        <w:jc w:val="center"/>
        <w:textAlignment w:val="center"/>
        <w:rPr>
          <w:rFonts w:ascii="Bookman Old Style" w:hAnsi="Bookman Old Style"/>
          <w:b/>
          <w:bCs/>
          <w:color w:val="000000"/>
          <w:lang w:val="es-ES_tradnl"/>
        </w:rPr>
      </w:pPr>
      <w:r>
        <w:rPr>
          <w:rFonts w:ascii="Bookman Old Style" w:hAnsi="Bookman Old Style"/>
          <w:color w:val="000000"/>
          <w:lang w:val="es-ES_tradnl"/>
        </w:rPr>
        <w:t xml:space="preserve">II. </w:t>
      </w:r>
      <w:r>
        <w:rPr>
          <w:rFonts w:ascii="Bookman Old Style" w:hAnsi="Bookman Old Style"/>
          <w:b/>
          <w:bCs/>
          <w:color w:val="000000"/>
          <w:lang w:val="es-ES_tradnl"/>
        </w:rPr>
        <w:t>CONTENIDO Y</w:t>
      </w:r>
      <w:r>
        <w:rPr>
          <w:rFonts w:ascii="Bookman Old Style" w:hAnsi="Bookman Old Style"/>
          <w:color w:val="000000"/>
          <w:lang w:val="es-ES_tradnl"/>
        </w:rPr>
        <w:t xml:space="preserve"> </w:t>
      </w:r>
      <w:r>
        <w:rPr>
          <w:rFonts w:ascii="Bookman Old Style" w:hAnsi="Bookman Old Style"/>
          <w:b/>
          <w:bCs/>
          <w:color w:val="000000"/>
          <w:lang w:val="es-ES_tradnl"/>
        </w:rPr>
        <w:t xml:space="preserve">ALCANCES </w:t>
      </w:r>
    </w:p>
    <w:p w:rsidR="0044525A" w:rsidRDefault="0044525A" w:rsidP="0044525A">
      <w:pPr>
        <w:adjustRightInd w:val="0"/>
        <w:spacing w:before="28" w:after="28" w:line="288" w:lineRule="auto"/>
        <w:ind w:firstLine="283"/>
        <w:jc w:val="both"/>
        <w:textAlignment w:val="center"/>
        <w:rPr>
          <w:rFonts w:ascii="Bookman Old Style" w:hAnsi="Bookman Old Style"/>
          <w:color w:val="000000"/>
          <w:lang w:val="es-ES_tradnl"/>
        </w:rPr>
      </w:pPr>
      <w:r>
        <w:rPr>
          <w:rFonts w:ascii="Bookman Old Style" w:hAnsi="Bookman Old Style"/>
          <w:color w:val="000000"/>
          <w:lang w:val="es-ES_tradnl"/>
        </w:rPr>
        <w:lastRenderedPageBreak/>
        <w:t xml:space="preserve">El proyecto de ley cuenta, con un único artículo, mediante el cual se pretende la modificación del ordinal b) del numeral 3 del artículo 15 de la Ley 91 de 1989, en el sentido de liquidar los intereses anuales de las cesantías para los docentes oficiales, como se liquidan actualmente para el resto de trabajadores del país, de acuerdo a la ley laboral de carácter general, específicamente el numeral 2 del artículo 99 de la Ley 50 de 1990 y teniendo en cuenta que esta forma de liquidación resulta más benéfica que la norma aplicable en la actualidad. </w:t>
      </w:r>
    </w:p>
    <w:p w:rsidR="0044525A" w:rsidRDefault="0044525A" w:rsidP="0044525A">
      <w:pPr>
        <w:adjustRightInd w:val="0"/>
        <w:spacing w:before="28" w:after="28" w:line="288" w:lineRule="auto"/>
        <w:jc w:val="center"/>
        <w:textAlignment w:val="center"/>
        <w:rPr>
          <w:rFonts w:ascii="Bookman Old Style" w:hAnsi="Bookman Old Style"/>
          <w:b/>
          <w:bCs/>
          <w:color w:val="000000"/>
          <w:lang w:val="es-ES_tradnl"/>
        </w:rPr>
      </w:pPr>
      <w:r>
        <w:rPr>
          <w:rFonts w:ascii="Bookman Old Style" w:hAnsi="Bookman Old Style"/>
          <w:color w:val="000000"/>
          <w:lang w:val="es-ES_tradnl"/>
        </w:rPr>
        <w:t xml:space="preserve">III. </w:t>
      </w:r>
      <w:r>
        <w:rPr>
          <w:rFonts w:ascii="Bookman Old Style" w:hAnsi="Bookman Old Style"/>
          <w:b/>
          <w:bCs/>
          <w:color w:val="000000"/>
          <w:lang w:val="es-ES_tradnl"/>
        </w:rPr>
        <w:t xml:space="preserve">CONSIDERACIONES </w:t>
      </w:r>
    </w:p>
    <w:p w:rsidR="0044525A" w:rsidRDefault="0044525A" w:rsidP="0044525A">
      <w:pPr>
        <w:adjustRightInd w:val="0"/>
        <w:spacing w:before="28" w:after="28" w:line="288" w:lineRule="auto"/>
        <w:ind w:firstLine="283"/>
        <w:jc w:val="both"/>
        <w:textAlignment w:val="center"/>
        <w:rPr>
          <w:rFonts w:ascii="Bookman Old Style" w:hAnsi="Bookman Old Style"/>
          <w:b/>
          <w:bCs/>
          <w:color w:val="000000"/>
          <w:lang w:val="es-ES_tradnl"/>
        </w:rPr>
      </w:pPr>
      <w:r>
        <w:rPr>
          <w:rFonts w:ascii="Bookman Old Style" w:hAnsi="Bookman Old Style"/>
          <w:b/>
          <w:bCs/>
          <w:color w:val="000000"/>
          <w:lang w:val="es-ES_tradnl"/>
        </w:rPr>
        <w:t xml:space="preserve">Fundamento Constitucional </w:t>
      </w:r>
    </w:p>
    <w:p w:rsidR="0044525A" w:rsidRDefault="0044525A" w:rsidP="0044525A">
      <w:pPr>
        <w:adjustRightInd w:val="0"/>
        <w:spacing w:before="28" w:after="28" w:line="288" w:lineRule="auto"/>
        <w:ind w:firstLine="283"/>
        <w:jc w:val="both"/>
        <w:textAlignment w:val="center"/>
        <w:rPr>
          <w:rFonts w:ascii="Bookman Old Style" w:hAnsi="Bookman Old Style"/>
          <w:color w:val="000000"/>
          <w:lang w:val="es-ES_tradnl"/>
        </w:rPr>
      </w:pPr>
      <w:r>
        <w:rPr>
          <w:rFonts w:ascii="Bookman Old Style" w:hAnsi="Bookman Old Style"/>
          <w:color w:val="000000"/>
          <w:lang w:val="es-ES_tradnl"/>
        </w:rPr>
        <w:t xml:space="preserve">El artículo 25 de nuestra Carta Política contempla, el trabajo es un derecho y una obligación social y goza, en todas sus modalidades, de la especial protección del Estado. Toda persona tiene derecho a un trabajo en condiciones dignas y justas. </w:t>
      </w:r>
    </w:p>
    <w:p w:rsidR="0044525A" w:rsidRDefault="0044525A" w:rsidP="0044525A">
      <w:pPr>
        <w:adjustRightInd w:val="0"/>
        <w:spacing w:before="28" w:after="28" w:line="288" w:lineRule="auto"/>
        <w:ind w:firstLine="283"/>
        <w:jc w:val="both"/>
        <w:textAlignment w:val="center"/>
        <w:rPr>
          <w:rFonts w:ascii="Bookman Old Style" w:hAnsi="Bookman Old Style"/>
          <w:color w:val="000000"/>
          <w:spacing w:val="-2"/>
          <w:lang w:val="es-ES_tradnl"/>
        </w:rPr>
      </w:pPr>
      <w:r>
        <w:rPr>
          <w:rFonts w:ascii="Bookman Old Style" w:hAnsi="Bookman Old Style"/>
          <w:color w:val="000000"/>
          <w:spacing w:val="-2"/>
          <w:lang w:val="es-ES_tradnl"/>
        </w:rPr>
        <w:t xml:space="preserve">Resulta claro que el régimen de cesantías de los docentes no contempla el interés que debe pagar el empleador por el auxilio anual no retroactivo liquidado, como sí se encuentra reconocido para los trabajadores en general de acuerdo a las disposiciones vigentes. En dicho régimen la forma de liquidarlos está dentro de un régimen prestacional y de seguridad social diferente al esquema general de prestaciones sociales y de esa manera lo dispuso el legislador, pero también resulta bastante claro que en su momento y cuando se estudió el proyecto de ley que generé tal hecho, no se percibió que la disposición resultaría desfavorable frente a la fórmula para liquidar las cesantías del resto de los trabajadores. </w:t>
      </w:r>
    </w:p>
    <w:p w:rsidR="0044525A" w:rsidRDefault="0044525A" w:rsidP="0044525A">
      <w:pPr>
        <w:adjustRightInd w:val="0"/>
        <w:spacing w:before="28" w:after="28" w:line="288" w:lineRule="auto"/>
        <w:ind w:firstLine="283"/>
        <w:jc w:val="both"/>
        <w:textAlignment w:val="center"/>
        <w:rPr>
          <w:rFonts w:ascii="Bookman Old Style" w:hAnsi="Bookman Old Style"/>
          <w:color w:val="000000"/>
          <w:lang w:val="es-ES_tradnl"/>
        </w:rPr>
      </w:pPr>
      <w:r>
        <w:rPr>
          <w:rFonts w:ascii="Bookman Old Style" w:hAnsi="Bookman Old Style"/>
          <w:color w:val="000000"/>
          <w:lang w:val="es-ES_tradnl"/>
        </w:rPr>
        <w:t xml:space="preserve">De haberse previsto tal circunstancia, se hubiese contemplado la más favorable para los docentes, no solo acorde a los objetivos del legislador que en su momento crearon la norma, sino de acuerdo a los preceptos constitucionales, pues sin duda alguna el Estado debe generar circunstancias de protección y favorabilidad hacia los trabajadores colombianos, frente a la posibilidad de aplicar dos regímenes diferentes. Es por ello que resulta razonable, buscar la aplicación de un sistema de reconocimiento y pago de los intereses de cesantías de los docentes, que produzcan mejor rentabilidad, como existe para los trabajadores en general. </w:t>
      </w:r>
    </w:p>
    <w:p w:rsidR="0044525A" w:rsidRDefault="0044525A" w:rsidP="0044525A">
      <w:pPr>
        <w:adjustRightInd w:val="0"/>
        <w:spacing w:before="28" w:after="28" w:line="288" w:lineRule="auto"/>
        <w:ind w:firstLine="283"/>
        <w:jc w:val="both"/>
        <w:textAlignment w:val="center"/>
        <w:rPr>
          <w:rFonts w:ascii="Bookman Old Style" w:hAnsi="Bookman Old Style"/>
          <w:color w:val="000000"/>
          <w:lang w:val="es-ES_tradnl"/>
        </w:rPr>
      </w:pPr>
      <w:r>
        <w:rPr>
          <w:rFonts w:ascii="Bookman Old Style" w:hAnsi="Bookman Old Style"/>
          <w:color w:val="000000"/>
          <w:lang w:val="es-ES_tradnl"/>
        </w:rPr>
        <w:t xml:space="preserve">Por otro lado y de acuerdo al derecho a la igualdad, contemplado en nuestra Constitución Política frente a la posibilidad de tener las mismas oportunidades en un mundo caracterizado por diferencias de todo tipo (culturales, económicas, sociales, laborales, políticas), entendemos que tal disposición se debe convertir en norma, generando la misma protección y trato, sin que haya lugar a discriminación frente a una </w:t>
      </w:r>
      <w:r>
        <w:rPr>
          <w:rFonts w:ascii="Bookman Old Style" w:hAnsi="Bookman Old Style"/>
          <w:color w:val="000000"/>
          <w:lang w:val="es-ES_tradnl"/>
        </w:rPr>
        <w:lastRenderedPageBreak/>
        <w:t xml:space="preserve">prestación social que haciendo un análisis comparativo, obedece a los mismos criterios y sin justificación razonable genera dos regímenes diferentes, uno para los docentes y otro para los trabajadores en general. </w:t>
      </w:r>
    </w:p>
    <w:p w:rsidR="0044525A" w:rsidRDefault="0044525A" w:rsidP="0044525A">
      <w:pPr>
        <w:adjustRightInd w:val="0"/>
        <w:spacing w:before="28" w:after="28" w:line="288" w:lineRule="auto"/>
        <w:ind w:firstLine="283"/>
        <w:jc w:val="both"/>
        <w:textAlignment w:val="center"/>
        <w:rPr>
          <w:rFonts w:ascii="Bookman Old Style" w:hAnsi="Bookman Old Style"/>
          <w:color w:val="000000"/>
          <w:lang w:val="es-ES_tradnl"/>
        </w:rPr>
      </w:pPr>
      <w:r>
        <w:rPr>
          <w:rFonts w:ascii="Bookman Old Style" w:hAnsi="Bookman Old Style"/>
          <w:color w:val="000000"/>
          <w:lang w:val="es-ES_tradnl"/>
        </w:rPr>
        <w:t xml:space="preserve">Así mismo, frente al carácter de derecho fundamental que tiene la seguridad Social, el Estado debe darle absoluta prelación en las normas internas acorde a la consagración en la Constitución Política y a los tratados internacionales ratificados por Colombia; es por ello, que ante la existencia de una ley que resulta injusta y por tanto no procedente constitucionalmente, surge la obligación por parte del legislador de generar modificaciones. </w:t>
      </w:r>
    </w:p>
    <w:p w:rsidR="0044525A" w:rsidRDefault="0044525A" w:rsidP="0044525A">
      <w:pPr>
        <w:adjustRightInd w:val="0"/>
        <w:spacing w:before="28" w:after="28" w:line="288" w:lineRule="auto"/>
        <w:jc w:val="center"/>
        <w:textAlignment w:val="center"/>
        <w:rPr>
          <w:rFonts w:ascii="Bookman Old Style" w:hAnsi="Bookman Old Style"/>
          <w:b/>
          <w:bCs/>
          <w:color w:val="000000"/>
          <w:lang w:val="es-ES_tradnl"/>
        </w:rPr>
      </w:pPr>
      <w:r>
        <w:rPr>
          <w:rFonts w:ascii="Bookman Old Style" w:hAnsi="Bookman Old Style"/>
          <w:color w:val="000000"/>
          <w:lang w:val="es-ES_tradnl"/>
        </w:rPr>
        <w:t xml:space="preserve">IV. </w:t>
      </w:r>
      <w:r>
        <w:rPr>
          <w:rFonts w:ascii="Bookman Old Style" w:hAnsi="Bookman Old Style"/>
          <w:b/>
          <w:bCs/>
          <w:color w:val="000000"/>
          <w:lang w:val="es-ES_tradnl"/>
        </w:rPr>
        <w:t xml:space="preserve">COMENTARIOS GENERALES </w:t>
      </w:r>
    </w:p>
    <w:p w:rsidR="0044525A" w:rsidRDefault="0044525A" w:rsidP="0044525A">
      <w:pPr>
        <w:adjustRightInd w:val="0"/>
        <w:spacing w:before="28" w:after="28" w:line="288" w:lineRule="auto"/>
        <w:ind w:firstLine="283"/>
        <w:jc w:val="both"/>
        <w:textAlignment w:val="center"/>
        <w:rPr>
          <w:rFonts w:ascii="Bookman Old Style" w:hAnsi="Bookman Old Style"/>
          <w:color w:val="000000"/>
          <w:spacing w:val="-5"/>
          <w:lang w:val="es-ES_tradnl"/>
        </w:rPr>
      </w:pPr>
      <w:r>
        <w:rPr>
          <w:rFonts w:ascii="Bookman Old Style" w:hAnsi="Bookman Old Style"/>
          <w:color w:val="000000"/>
          <w:spacing w:val="-5"/>
          <w:lang w:val="es-ES_tradnl"/>
        </w:rPr>
        <w:t xml:space="preserve">De acuerdo a la Legislación Laboral de Colombia, la justificación de regímenes laborales especiales, encuentra su explicación en la protección de derechos adquiridos, conforme al artículo 58 de la Carta Política. Sin embargo, resulta de vital importancia resaltar que los regímenes especiales, deben garantizar un nivel de protección igual o superior a los denominados generales, de lo contrario se estarían vulnerando los derechos básicos de los trabajadores. </w:t>
      </w:r>
    </w:p>
    <w:p w:rsidR="0044525A" w:rsidRDefault="0044525A" w:rsidP="0044525A">
      <w:pPr>
        <w:adjustRightInd w:val="0"/>
        <w:spacing w:before="28" w:after="28" w:line="288" w:lineRule="auto"/>
        <w:ind w:firstLine="283"/>
        <w:jc w:val="both"/>
        <w:textAlignment w:val="center"/>
        <w:rPr>
          <w:rFonts w:ascii="Bookman Old Style" w:hAnsi="Bookman Old Style"/>
          <w:color w:val="000000"/>
          <w:lang w:val="es-ES_tradnl"/>
        </w:rPr>
      </w:pPr>
      <w:r>
        <w:rPr>
          <w:rFonts w:ascii="Bookman Old Style" w:hAnsi="Bookman Old Style"/>
          <w:color w:val="000000"/>
          <w:lang w:val="es-ES_tradnl"/>
        </w:rPr>
        <w:t xml:space="preserve">Por tal razón, en caso de observar una desmejora en el tema salarial o prestacional, se debe realizar el estudio sobre si esta es real o aparente y si eventualmente puede llegar a vulnerar el derecho a la igualdad. </w:t>
      </w:r>
    </w:p>
    <w:p w:rsidR="0044525A" w:rsidRDefault="0044525A" w:rsidP="0044525A">
      <w:pPr>
        <w:adjustRightInd w:val="0"/>
        <w:spacing w:before="28" w:after="28" w:line="288" w:lineRule="auto"/>
        <w:ind w:firstLine="283"/>
        <w:jc w:val="both"/>
        <w:textAlignment w:val="center"/>
        <w:rPr>
          <w:rFonts w:ascii="Bookman Old Style" w:hAnsi="Bookman Old Style"/>
          <w:color w:val="000000"/>
          <w:lang w:val="es-ES_tradnl"/>
        </w:rPr>
      </w:pPr>
      <w:r>
        <w:rPr>
          <w:rFonts w:ascii="Bookman Old Style" w:hAnsi="Bookman Old Style"/>
          <w:color w:val="000000"/>
          <w:lang w:val="es-ES_tradnl"/>
        </w:rPr>
        <w:t xml:space="preserve">De otro lado el artículo 53 de la Constitución Política de Colombia, asigna al Congreso de la República la función de expedir el Estatuto del Trabajo y demás normas laborales pertinentes. </w:t>
      </w:r>
    </w:p>
    <w:p w:rsidR="0044525A" w:rsidRDefault="0044525A" w:rsidP="0044525A">
      <w:pPr>
        <w:adjustRightInd w:val="0"/>
        <w:spacing w:before="28" w:after="28" w:line="288" w:lineRule="auto"/>
        <w:ind w:firstLine="283"/>
        <w:jc w:val="both"/>
        <w:textAlignment w:val="center"/>
        <w:rPr>
          <w:rFonts w:ascii="Bookman Old Style" w:hAnsi="Bookman Old Style"/>
          <w:color w:val="000000"/>
          <w:lang w:val="es-ES_tradnl"/>
        </w:rPr>
      </w:pPr>
      <w:r>
        <w:rPr>
          <w:rFonts w:ascii="Bookman Old Style" w:hAnsi="Bookman Old Style"/>
          <w:color w:val="000000"/>
          <w:lang w:val="es-ES_tradnl"/>
        </w:rPr>
        <w:t xml:space="preserve">En el caso de estudio, la liquidación de interés a la cesantía para los trabajadores de la docencia, se liquida con base en el promedio de la tasa comercial de captación del Sistema Financiero </w:t>
      </w:r>
      <w:proofErr w:type="spellStart"/>
      <w:r>
        <w:rPr>
          <w:rFonts w:ascii="Bookman Old Style" w:hAnsi="Bookman Old Style"/>
          <w:color w:val="000000"/>
          <w:lang w:val="es-ES_tradnl"/>
        </w:rPr>
        <w:t>DTF</w:t>
      </w:r>
      <w:proofErr w:type="spellEnd"/>
      <w:r>
        <w:rPr>
          <w:rFonts w:ascii="Bookman Old Style" w:hAnsi="Bookman Old Style"/>
          <w:color w:val="000000"/>
          <w:lang w:val="es-ES_tradnl"/>
        </w:rPr>
        <w:t xml:space="preserve">, cuyo promedio anual en la actualidad no supera el 6,4%, caso contrario al de los trabajadores cobijados con el artículo 99 de la Ley 50 de 1990, que son liquidados con el 12% anual, perdiendo así los docentes entre 6 y 7 puntos porcentuales al año, respecto del resto de los trabajadores. </w:t>
      </w:r>
    </w:p>
    <w:p w:rsidR="0044525A" w:rsidRDefault="0044525A" w:rsidP="0044525A">
      <w:pPr>
        <w:adjustRightInd w:val="0"/>
        <w:spacing w:before="28" w:after="28" w:line="288" w:lineRule="auto"/>
        <w:ind w:firstLine="283"/>
        <w:jc w:val="both"/>
        <w:textAlignment w:val="center"/>
        <w:rPr>
          <w:rFonts w:ascii="Bookman Old Style" w:hAnsi="Bookman Old Style"/>
          <w:color w:val="000000"/>
          <w:lang w:val="es-ES_tradnl"/>
        </w:rPr>
      </w:pPr>
      <w:r>
        <w:rPr>
          <w:rFonts w:ascii="Bookman Old Style" w:hAnsi="Bookman Old Style"/>
          <w:color w:val="000000"/>
          <w:lang w:val="es-ES_tradnl"/>
        </w:rPr>
        <w:t xml:space="preserve">La Corte Constitucional considera que para establecer si el derecho a la igualdad se ve vulnerado o no, debe ser aplicado: un concepto racional, es decir, que su aplicación supone la comparación de por lo menos dos situaciones para determinar si, en un caso concreto, ambas se encuentran en un mismo plano y, por ende, merecen el mismo tratamiento o si, por el contrario, al ser distintas un trato diferente ameritan. La aplicación del principio de igualdad en los términos </w:t>
      </w:r>
      <w:r>
        <w:rPr>
          <w:rFonts w:ascii="Bookman Old Style" w:hAnsi="Bookman Old Style"/>
          <w:color w:val="000000"/>
          <w:lang w:val="es-ES_tradnl"/>
        </w:rPr>
        <w:lastRenderedPageBreak/>
        <w:t xml:space="preserve">referidos, tiene como finalidad determinar, en cada caso concreto, si existe discriminación en relación con una de las situaciones o personas puestas en plano de comparación, entendida la discriminación como el trato diferente a situaciones iguales o simplemente el trato diferente que no tiene justificación. </w:t>
      </w:r>
    </w:p>
    <w:p w:rsidR="0044525A" w:rsidRDefault="0044525A" w:rsidP="0044525A">
      <w:pPr>
        <w:adjustRightInd w:val="0"/>
        <w:spacing w:before="28" w:after="28" w:line="288" w:lineRule="auto"/>
        <w:ind w:firstLine="283"/>
        <w:jc w:val="both"/>
        <w:textAlignment w:val="center"/>
        <w:rPr>
          <w:rFonts w:ascii="Bookman Old Style" w:hAnsi="Bookman Old Style"/>
          <w:color w:val="000000"/>
          <w:spacing w:val="-2"/>
          <w:lang w:val="es-ES_tradnl"/>
        </w:rPr>
      </w:pPr>
      <w:r>
        <w:rPr>
          <w:rFonts w:ascii="Bookman Old Style" w:hAnsi="Bookman Old Style"/>
          <w:color w:val="000000"/>
          <w:spacing w:val="-2"/>
          <w:lang w:val="es-ES_tradnl"/>
        </w:rPr>
        <w:t xml:space="preserve">En este caso no existe una justificación normativa, que lleve al legislador a tratar de manera disímil el tema de cesantías de los trabajadores, actuar de manera contraria vulneraría el artículo 13 de la Constitución Política de Colombia. Por lo tanto, se debe buscar para el caso de la liquidación de los intereses de cesantías, que se dejen de aplicar para los docentes las normas especiales que ordenan liquidar los intereses a las cesantías, con base en el promedio de la tasa comercial de captación del sistema financiero </w:t>
      </w:r>
      <w:proofErr w:type="spellStart"/>
      <w:r>
        <w:rPr>
          <w:rFonts w:ascii="Bookman Old Style" w:hAnsi="Bookman Old Style"/>
          <w:color w:val="000000"/>
          <w:spacing w:val="-2"/>
          <w:lang w:val="es-ES_tradnl"/>
        </w:rPr>
        <w:t>DTF</w:t>
      </w:r>
      <w:proofErr w:type="spellEnd"/>
      <w:r>
        <w:rPr>
          <w:rFonts w:ascii="Bookman Old Style" w:hAnsi="Bookman Old Style"/>
          <w:color w:val="000000"/>
          <w:spacing w:val="-2"/>
          <w:lang w:val="es-ES_tradnl"/>
        </w:rPr>
        <w:t xml:space="preserve"> y en su lugar se apliquen las normas nacionales de carácter general. Las estadísticas muestran que la </w:t>
      </w:r>
      <w:proofErr w:type="spellStart"/>
      <w:r>
        <w:rPr>
          <w:rFonts w:ascii="Bookman Old Style" w:hAnsi="Bookman Old Style"/>
          <w:color w:val="000000"/>
          <w:spacing w:val="-2"/>
          <w:lang w:val="es-ES_tradnl"/>
        </w:rPr>
        <w:t>DTF</w:t>
      </w:r>
      <w:proofErr w:type="spellEnd"/>
      <w:r>
        <w:rPr>
          <w:rFonts w:ascii="Bookman Old Style" w:hAnsi="Bookman Old Style"/>
          <w:color w:val="000000"/>
          <w:spacing w:val="-2"/>
          <w:lang w:val="es-ES_tradnl"/>
        </w:rPr>
        <w:t xml:space="preserve"> ha tenido un comportamiento dinámico y ha disminuido de un 38,64% en 1990, 7,19% en 2005 y 7,66% a marzo 19 de 2007, de esta manera el docente se ve perjudicado puesto que la liquidación de los intereses a las cesantías es inferior al 12% anual como lo dispone la Ley 50 de 1990, para el resto de trabajadores. </w:t>
      </w:r>
    </w:p>
    <w:p w:rsidR="0044525A" w:rsidRDefault="0044525A" w:rsidP="0044525A">
      <w:pPr>
        <w:adjustRightInd w:val="0"/>
        <w:spacing w:before="28" w:after="28" w:line="288" w:lineRule="auto"/>
        <w:ind w:firstLine="283"/>
        <w:jc w:val="both"/>
        <w:textAlignment w:val="center"/>
        <w:rPr>
          <w:rFonts w:ascii="Bookman Old Style" w:hAnsi="Bookman Old Style"/>
          <w:color w:val="000000"/>
          <w:lang w:val="es-ES_tradnl"/>
        </w:rPr>
      </w:pPr>
      <w:r>
        <w:rPr>
          <w:rFonts w:ascii="Bookman Old Style" w:hAnsi="Bookman Old Style"/>
          <w:color w:val="000000"/>
          <w:lang w:val="es-ES_tradnl"/>
        </w:rPr>
        <w:t xml:space="preserve">La norma que se trata de modificar está contenida en el ordinal b), del numeral 3 del artículo 15 de la Ley 91 de 1989, que a la letra dice: </w:t>
      </w:r>
    </w:p>
    <w:p w:rsidR="0044525A" w:rsidRDefault="0044525A" w:rsidP="0044525A">
      <w:pPr>
        <w:adjustRightInd w:val="0"/>
        <w:spacing w:before="28" w:after="28" w:line="288" w:lineRule="auto"/>
        <w:ind w:firstLine="283"/>
        <w:jc w:val="both"/>
        <w:textAlignment w:val="center"/>
        <w:rPr>
          <w:rFonts w:ascii="Bookman Old Style" w:hAnsi="Bookman Old Style"/>
          <w:color w:val="000000"/>
          <w:lang w:val="es-ES_tradnl"/>
        </w:rPr>
      </w:pPr>
      <w:r>
        <w:rPr>
          <w:rFonts w:ascii="Bookman Old Style" w:hAnsi="Bookman Old Style"/>
          <w:color w:val="000000"/>
          <w:lang w:val="es-ES_tradnl"/>
        </w:rPr>
        <w:t xml:space="preserve">Para los docentes que k vinculen a partir del 1° de enero de 1990 y para los docentes nacionales vinculados con anterioridad a dicha fecha, pero solo con respecto a las cesantías generadas a partir del 1° de enero de 1990, el Fondo Nacional de Prestaciones Sociales del Magisterio, reconocerá y pagará un interés anual sobre el saldo de estas cesantías existentes al 31 de diciembre de cada año, liquidadas anualmente y sin retroactividad, equivalente a la suma que resulte de aplicar la tasa de interés, que de acuerdo con certificación de la Superintendencia Bancaria, haya sido la comercial </w:t>
      </w:r>
      <w:proofErr w:type="spellStart"/>
      <w:r>
        <w:rPr>
          <w:rFonts w:ascii="Bookman Old Style" w:hAnsi="Bookman Old Style"/>
          <w:color w:val="000000"/>
          <w:lang w:val="es-ES_tradnl"/>
        </w:rPr>
        <w:t>pr</w:t>
      </w:r>
      <w:proofErr w:type="spellEnd"/>
      <w:r>
        <w:rPr>
          <w:rFonts w:ascii="Bookman Old Style" w:hAnsi="Bookman Old Style"/>
          <w:color w:val="000000"/>
          <w:lang w:val="es-ES_tradnl"/>
        </w:rPr>
        <w:t xml:space="preserve"> </w:t>
      </w:r>
      <w:proofErr w:type="spellStart"/>
      <w:r>
        <w:rPr>
          <w:rFonts w:ascii="Bookman Old Style" w:hAnsi="Bookman Old Style"/>
          <w:color w:val="000000"/>
          <w:lang w:val="es-ES_tradnl"/>
        </w:rPr>
        <w:t>omedio</w:t>
      </w:r>
      <w:proofErr w:type="spellEnd"/>
      <w:r>
        <w:rPr>
          <w:rFonts w:ascii="Bookman Old Style" w:hAnsi="Bookman Old Style"/>
          <w:color w:val="000000"/>
          <w:lang w:val="es-ES_tradnl"/>
        </w:rPr>
        <w:t xml:space="preserve"> de captación del sistema financiero durante el mismo periodo. Las cesantías del personal nacional docente, acumuladas hasta el 31 de diciembre de 1989, que pasan al Fondo Nacional de Prestaciones Sociales del Magisterio, continuarán sometidas a las normas generales vigentes para los empleados públicos del orden nacional. </w:t>
      </w:r>
    </w:p>
    <w:p w:rsidR="0044525A" w:rsidRDefault="0044525A" w:rsidP="0044525A">
      <w:pPr>
        <w:adjustRightInd w:val="0"/>
        <w:spacing w:before="28" w:after="28" w:line="288" w:lineRule="auto"/>
        <w:ind w:firstLine="283"/>
        <w:jc w:val="both"/>
        <w:textAlignment w:val="center"/>
        <w:rPr>
          <w:rFonts w:ascii="Bookman Old Style" w:hAnsi="Bookman Old Style"/>
          <w:color w:val="000000"/>
          <w:lang w:val="es-ES_tradnl"/>
        </w:rPr>
      </w:pPr>
      <w:r>
        <w:rPr>
          <w:rFonts w:ascii="Bookman Old Style" w:hAnsi="Bookman Old Style"/>
          <w:color w:val="000000"/>
          <w:lang w:val="es-ES_tradnl"/>
        </w:rPr>
        <w:t xml:space="preserve">En sentido práctico esta norma exige liquidar los intereses de las cesantías de los docentes vinculados a la nómina oficial a la tasa </w:t>
      </w:r>
      <w:proofErr w:type="spellStart"/>
      <w:r>
        <w:rPr>
          <w:rFonts w:ascii="Bookman Old Style" w:hAnsi="Bookman Old Style"/>
          <w:color w:val="000000"/>
          <w:lang w:val="es-ES_tradnl"/>
        </w:rPr>
        <w:t>DTF</w:t>
      </w:r>
      <w:proofErr w:type="spellEnd"/>
      <w:r>
        <w:rPr>
          <w:rFonts w:ascii="Bookman Old Style" w:hAnsi="Bookman Old Style"/>
          <w:color w:val="000000"/>
          <w:lang w:val="es-ES_tradnl"/>
        </w:rPr>
        <w:t xml:space="preserve">, que como insistimos ha bajado desde un 38,64% en 1990, al 7,66% en marzo de 2007. </w:t>
      </w:r>
    </w:p>
    <w:p w:rsidR="0044525A" w:rsidRDefault="0044525A" w:rsidP="0044525A">
      <w:pPr>
        <w:adjustRightInd w:val="0"/>
        <w:spacing w:before="28" w:after="28" w:line="288" w:lineRule="auto"/>
        <w:ind w:firstLine="283"/>
        <w:jc w:val="both"/>
        <w:textAlignment w:val="center"/>
        <w:rPr>
          <w:rFonts w:ascii="Bookman Old Style" w:hAnsi="Bookman Old Style"/>
          <w:color w:val="000000"/>
          <w:lang w:val="es-ES_tradnl"/>
        </w:rPr>
      </w:pPr>
      <w:r>
        <w:rPr>
          <w:rFonts w:ascii="Bookman Old Style" w:hAnsi="Bookman Old Style"/>
          <w:color w:val="000000"/>
          <w:lang w:val="es-ES_tradnl"/>
        </w:rPr>
        <w:t xml:space="preserve">Antes de la expedición de la Ley 91 de 1989, la liquidación de las cesantías que le hacían a los docentes les incorporaban el sistema </w:t>
      </w:r>
      <w:r>
        <w:rPr>
          <w:rFonts w:ascii="Bookman Old Style" w:hAnsi="Bookman Old Style"/>
          <w:color w:val="000000"/>
          <w:lang w:val="es-ES_tradnl"/>
        </w:rPr>
        <w:lastRenderedPageBreak/>
        <w:t xml:space="preserve">retroactivo lo que evidentemente era más favorable en relación con la liquidación anual de intereses, por lo que redujeron su monto de manera ostensible haciendo más considerable su pérdida con la baja de la </w:t>
      </w:r>
      <w:proofErr w:type="spellStart"/>
      <w:r>
        <w:rPr>
          <w:rFonts w:ascii="Bookman Old Style" w:hAnsi="Bookman Old Style"/>
          <w:color w:val="000000"/>
          <w:lang w:val="es-ES_tradnl"/>
        </w:rPr>
        <w:t>DTF</w:t>
      </w:r>
      <w:proofErr w:type="spellEnd"/>
      <w:r>
        <w:rPr>
          <w:rFonts w:ascii="Bookman Old Style" w:hAnsi="Bookman Old Style"/>
          <w:color w:val="000000"/>
          <w:lang w:val="es-ES_tradnl"/>
        </w:rPr>
        <w:t xml:space="preserve"> a menos de un dígito. </w:t>
      </w:r>
    </w:p>
    <w:p w:rsidR="0044525A" w:rsidRDefault="0044525A" w:rsidP="0044525A">
      <w:pPr>
        <w:adjustRightInd w:val="0"/>
        <w:spacing w:before="28" w:after="28" w:line="288" w:lineRule="auto"/>
        <w:ind w:firstLine="283"/>
        <w:jc w:val="both"/>
        <w:textAlignment w:val="center"/>
        <w:rPr>
          <w:rFonts w:ascii="Bookman Old Style" w:hAnsi="Bookman Old Style"/>
          <w:color w:val="000000"/>
          <w:lang w:val="es-ES_tradnl"/>
        </w:rPr>
      </w:pPr>
      <w:r>
        <w:rPr>
          <w:rFonts w:ascii="Bookman Old Style" w:hAnsi="Bookman Old Style"/>
          <w:color w:val="000000"/>
          <w:lang w:val="es-ES_tradnl"/>
        </w:rPr>
        <w:t xml:space="preserve">La forma de liquidar los intereses anuales de las cesantías para el resto de trabajadores del país, está fijada por leyes laborales de carácter general y se encuentra contenida en el numeral 2 del artículo 99 de la Ley 50 de 1990, que reza lo siguiente: </w:t>
      </w:r>
    </w:p>
    <w:p w:rsidR="0044525A" w:rsidRDefault="0044525A" w:rsidP="0044525A">
      <w:pPr>
        <w:adjustRightInd w:val="0"/>
        <w:spacing w:before="28" w:after="28" w:line="288" w:lineRule="auto"/>
        <w:ind w:firstLine="283"/>
        <w:jc w:val="both"/>
        <w:textAlignment w:val="center"/>
        <w:rPr>
          <w:rFonts w:ascii="Bookman Old Style" w:hAnsi="Bookman Old Style"/>
          <w:color w:val="000000"/>
          <w:lang w:val="es-ES_tradnl"/>
        </w:rPr>
      </w:pPr>
      <w:r>
        <w:rPr>
          <w:rFonts w:ascii="Bookman Old Style" w:hAnsi="Bookman Old Style"/>
          <w:color w:val="000000"/>
          <w:lang w:val="es-ES_tradnl"/>
        </w:rPr>
        <w:t xml:space="preserve">¿El empleador cancelará al trabajador los intereses legales de 12% anual o proporcional por fracción, en los términos de las normas vigentes sobre el régimen tradicional de cesantías, con respecto a la suma causada en el año o en la fracción que se liquide definitivamente? </w:t>
      </w:r>
    </w:p>
    <w:p w:rsidR="0044525A" w:rsidRDefault="0044525A" w:rsidP="0044525A">
      <w:pPr>
        <w:adjustRightInd w:val="0"/>
        <w:spacing w:before="28" w:after="28" w:line="288" w:lineRule="auto"/>
        <w:ind w:firstLine="283"/>
        <w:jc w:val="both"/>
        <w:textAlignment w:val="center"/>
        <w:rPr>
          <w:rFonts w:ascii="Bookman Old Style" w:hAnsi="Bookman Old Style"/>
          <w:color w:val="000000"/>
          <w:spacing w:val="-2"/>
          <w:lang w:val="es-ES_tradnl"/>
        </w:rPr>
      </w:pPr>
      <w:r>
        <w:rPr>
          <w:rFonts w:ascii="Bookman Old Style" w:hAnsi="Bookman Old Style"/>
          <w:color w:val="000000"/>
          <w:spacing w:val="-2"/>
          <w:lang w:val="es-ES_tradnl"/>
        </w:rPr>
        <w:t xml:space="preserve">Al cotejar las dos normas citadas para liquidar los intereses a las cesantías en el país, se encuentra que los docentes, hoy reciben entre 6 y 7 puntos menos que el resto de los trabajadores. Sin embargo, hoy las exigencias laborales para los docentes son mucho más grandes, dado el nuevo sistema de vinculación, la implantación de las nuevas metodologías de planeación y de administración, que demandan mucho más tiempo, la obligatoriedad de permanecer en los centros docentes más horas, la fusión de centros escolares que aumentó significativamente la carga académica, la participación creciente del maestro en el diseño de proyectos educativos con proyección a la comunidad, que inclusive le demanda trabajar en horas extras y festivos, la exigencia de </w:t>
      </w:r>
      <w:proofErr w:type="spellStart"/>
      <w:r>
        <w:rPr>
          <w:rFonts w:ascii="Bookman Old Style" w:hAnsi="Bookman Old Style"/>
          <w:color w:val="000000"/>
          <w:spacing w:val="-2"/>
          <w:lang w:val="es-ES_tradnl"/>
        </w:rPr>
        <w:t>pr</w:t>
      </w:r>
      <w:proofErr w:type="spellEnd"/>
      <w:r>
        <w:rPr>
          <w:rFonts w:ascii="Bookman Old Style" w:hAnsi="Bookman Old Style"/>
          <w:color w:val="000000"/>
          <w:spacing w:val="-2"/>
          <w:lang w:val="es-ES_tradnl"/>
        </w:rPr>
        <w:t xml:space="preserve"> </w:t>
      </w:r>
      <w:proofErr w:type="spellStart"/>
      <w:r>
        <w:rPr>
          <w:rFonts w:ascii="Bookman Old Style" w:hAnsi="Bookman Old Style"/>
          <w:color w:val="000000"/>
          <w:spacing w:val="-2"/>
          <w:lang w:val="es-ES_tradnl"/>
        </w:rPr>
        <w:t>ocesos</w:t>
      </w:r>
      <w:proofErr w:type="spellEnd"/>
      <w:r>
        <w:rPr>
          <w:rFonts w:ascii="Bookman Old Style" w:hAnsi="Bookman Old Style"/>
          <w:color w:val="000000"/>
          <w:spacing w:val="-2"/>
          <w:lang w:val="es-ES_tradnl"/>
        </w:rPr>
        <w:t xml:space="preserve"> de evaluación y finalmente cabe destacar que actualmente están prácticamente suspendidos los ascensos en el escalafón docente. </w:t>
      </w:r>
    </w:p>
    <w:p w:rsidR="0044525A" w:rsidRDefault="0044525A" w:rsidP="0044525A">
      <w:pPr>
        <w:adjustRightInd w:val="0"/>
        <w:spacing w:before="28" w:after="28" w:line="288" w:lineRule="auto"/>
        <w:ind w:firstLine="283"/>
        <w:jc w:val="both"/>
        <w:textAlignment w:val="center"/>
        <w:rPr>
          <w:rFonts w:ascii="Bookman Old Style" w:hAnsi="Bookman Old Style"/>
          <w:color w:val="000000"/>
          <w:lang w:val="es-ES_tradnl"/>
        </w:rPr>
      </w:pPr>
      <w:r>
        <w:rPr>
          <w:rFonts w:ascii="Bookman Old Style" w:hAnsi="Bookman Old Style"/>
          <w:color w:val="000000"/>
          <w:lang w:val="es-ES_tradnl"/>
        </w:rPr>
        <w:t xml:space="preserve">Todas estas nuevas exigencias, demandan entonces una mejora en las condiciones de remuneración de las prestaciones sociales de los docentes y, por lo tanto, esta norma representa una pequeña compensación al desequilibrio existente. </w:t>
      </w:r>
    </w:p>
    <w:p w:rsidR="0044525A" w:rsidRDefault="0044525A" w:rsidP="0044525A">
      <w:pPr>
        <w:adjustRightInd w:val="0"/>
        <w:spacing w:before="28" w:after="28" w:line="288" w:lineRule="auto"/>
        <w:ind w:firstLine="283"/>
        <w:jc w:val="both"/>
        <w:textAlignment w:val="center"/>
        <w:rPr>
          <w:rFonts w:ascii="Bookman Old Style" w:hAnsi="Bookman Old Style"/>
          <w:color w:val="000000"/>
          <w:lang w:val="es-ES_tradnl"/>
        </w:rPr>
      </w:pPr>
      <w:r>
        <w:rPr>
          <w:rFonts w:ascii="Bookman Old Style" w:hAnsi="Bookman Old Style"/>
          <w:color w:val="000000"/>
          <w:lang w:val="es-ES_tradnl"/>
        </w:rPr>
        <w:t xml:space="preserve">Finalmente, la honorable Corte Constitucional, al estudiar los regímenes prestacionales especiales, respecto de los de carácter general, afirma que en estos casos deben prevalecer las normas prestacionales de carácter general, siempre y cuando le sean más favorables al trabajador. </w:t>
      </w:r>
    </w:p>
    <w:p w:rsidR="0044525A" w:rsidRDefault="0044525A" w:rsidP="0044525A">
      <w:pPr>
        <w:adjustRightInd w:val="0"/>
        <w:spacing w:before="28" w:after="28" w:line="288" w:lineRule="auto"/>
        <w:ind w:firstLine="283"/>
        <w:jc w:val="both"/>
        <w:textAlignment w:val="center"/>
        <w:rPr>
          <w:rFonts w:ascii="Bookman Old Style" w:hAnsi="Bookman Old Style"/>
          <w:color w:val="000000"/>
          <w:lang w:val="es-ES_tradnl"/>
        </w:rPr>
      </w:pPr>
      <w:r>
        <w:rPr>
          <w:rFonts w:ascii="Bookman Old Style" w:hAnsi="Bookman Old Style"/>
          <w:color w:val="000000"/>
          <w:lang w:val="es-ES_tradnl"/>
        </w:rPr>
        <w:t xml:space="preserve">Esta doctrina está contenida en diferentes sentencias, entre otras, en la C-182 de 1997, sobre la aplicación de las normas generales sobre las especiales en materia prestacional, y es del siguiente tenor. Ha señalado esta Corporación en relación con el establecimiento de los llamados Regímenes Excepcionales que ellos se ajustan al ordenamiento constitucional, en cuanto suponen la existencia de unas condiciones </w:t>
      </w:r>
      <w:r>
        <w:rPr>
          <w:rFonts w:ascii="Bookman Old Style" w:hAnsi="Bookman Old Style"/>
          <w:color w:val="000000"/>
          <w:lang w:val="es-ES_tradnl"/>
        </w:rPr>
        <w:lastRenderedPageBreak/>
        <w:t xml:space="preserve">prestacionales más favorables para los trabajadores a quienes comprende y cuya finalidad es la preservación de los derechos adquiridos. Pero, cuando consagren para sus destinatarios un tratamiento inequitativo frente al que se otorgue a la generalidad de los trabajadores cobijados por la Ley 100 de 1993, estas regulaciones deberán ser descalificadas en cuanto quebrantan el principio constitucional a la igualdad. </w:t>
      </w:r>
    </w:p>
    <w:p w:rsidR="0044525A" w:rsidRDefault="0044525A" w:rsidP="0044525A">
      <w:pPr>
        <w:adjustRightInd w:val="0"/>
        <w:spacing w:before="28" w:after="28" w:line="288" w:lineRule="auto"/>
        <w:ind w:firstLine="283"/>
        <w:jc w:val="both"/>
        <w:textAlignment w:val="center"/>
        <w:rPr>
          <w:rFonts w:ascii="Bookman Old Style" w:hAnsi="Bookman Old Style"/>
          <w:color w:val="000000"/>
          <w:lang w:val="es-ES_tradnl"/>
        </w:rPr>
      </w:pPr>
      <w:r>
        <w:rPr>
          <w:rFonts w:ascii="Bookman Old Style" w:hAnsi="Bookman Old Style"/>
          <w:color w:val="000000"/>
          <w:lang w:val="es-ES_tradnl"/>
        </w:rPr>
        <w:t xml:space="preserve">Autores, </w:t>
      </w:r>
    </w:p>
    <w:p w:rsidR="0044525A" w:rsidRDefault="0044525A" w:rsidP="0044525A">
      <w:pPr>
        <w:adjustRightInd w:val="0"/>
        <w:spacing w:before="28" w:after="28" w:line="288" w:lineRule="auto"/>
        <w:ind w:firstLine="283"/>
        <w:jc w:val="both"/>
        <w:textAlignment w:val="center"/>
        <w:rPr>
          <w:rFonts w:ascii="Bookman Old Style" w:hAnsi="Bookman Old Style"/>
          <w:color w:val="000000"/>
          <w:spacing w:val="-5"/>
          <w:lang w:val="es-ES_tradnl"/>
        </w:rPr>
      </w:pPr>
      <w:r>
        <w:rPr>
          <w:rFonts w:ascii="Bookman Old Style" w:hAnsi="Bookman Old Style"/>
          <w:i/>
          <w:iCs/>
          <w:color w:val="000000"/>
          <w:spacing w:val="-5"/>
          <w:lang w:val="es-ES_tradnl"/>
        </w:rPr>
        <w:t xml:space="preserve">Jorge Eliécer Guevara, </w:t>
      </w:r>
      <w:r>
        <w:rPr>
          <w:rFonts w:ascii="Bookman Old Style" w:hAnsi="Bookman Old Style"/>
          <w:color w:val="000000"/>
          <w:spacing w:val="-5"/>
          <w:lang w:val="es-ES_tradnl"/>
        </w:rPr>
        <w:t xml:space="preserve">Senador de la República; </w:t>
      </w:r>
      <w:r>
        <w:rPr>
          <w:rFonts w:ascii="Bookman Old Style" w:hAnsi="Bookman Old Style"/>
          <w:i/>
          <w:iCs/>
          <w:color w:val="000000"/>
          <w:spacing w:val="-5"/>
          <w:lang w:val="es-ES_tradnl"/>
        </w:rPr>
        <w:t xml:space="preserve">Bérner Zambrano Erazo, </w:t>
      </w:r>
      <w:r>
        <w:rPr>
          <w:rFonts w:ascii="Bookman Old Style" w:hAnsi="Bookman Old Style"/>
          <w:color w:val="000000"/>
          <w:spacing w:val="-5"/>
          <w:lang w:val="es-ES_tradnl"/>
        </w:rPr>
        <w:t xml:space="preserve">Representante a la Cámara. </w:t>
      </w:r>
    </w:p>
    <w:p w:rsidR="0044525A" w:rsidRDefault="0044525A" w:rsidP="0044525A">
      <w:pPr>
        <w:adjustRightInd w:val="0"/>
        <w:spacing w:before="28" w:after="28" w:line="288" w:lineRule="auto"/>
        <w:ind w:firstLine="283"/>
        <w:jc w:val="center"/>
        <w:textAlignment w:val="center"/>
        <w:rPr>
          <w:rFonts w:ascii="Bookman Old Style" w:hAnsi="Bookman Old Style"/>
          <w:color w:val="000000"/>
          <w:lang w:val="es-ES_tradnl"/>
        </w:rPr>
      </w:pPr>
    </w:p>
    <w:p w:rsidR="0044525A" w:rsidRDefault="0044525A" w:rsidP="0044525A">
      <w:pPr>
        <w:adjustRightInd w:val="0"/>
        <w:spacing w:before="28" w:after="28" w:line="288" w:lineRule="auto"/>
        <w:ind w:firstLine="283"/>
        <w:jc w:val="center"/>
        <w:textAlignment w:val="center"/>
        <w:rPr>
          <w:rFonts w:ascii="Bookman Old Style" w:hAnsi="Bookman Old Style"/>
          <w:color w:val="000000"/>
          <w:lang w:val="es-ES_tradnl"/>
        </w:rPr>
      </w:pPr>
      <w:r>
        <w:rPr>
          <w:rFonts w:ascii="Bookman Old Style" w:hAnsi="Bookman Old Style"/>
          <w:color w:val="000000"/>
          <w:lang w:val="es-ES_tradnl"/>
        </w:rPr>
        <w:t>SENADO DE LA REPÚBLICA</w:t>
      </w:r>
    </w:p>
    <w:p w:rsidR="0044525A" w:rsidRDefault="0044525A" w:rsidP="0044525A">
      <w:pPr>
        <w:adjustRightInd w:val="0"/>
        <w:spacing w:before="28" w:after="28" w:line="288" w:lineRule="auto"/>
        <w:ind w:firstLine="283"/>
        <w:jc w:val="center"/>
        <w:textAlignment w:val="center"/>
        <w:rPr>
          <w:rFonts w:ascii="Bookman Old Style" w:hAnsi="Bookman Old Style"/>
          <w:color w:val="000000"/>
          <w:lang w:val="es-ES_tradnl"/>
        </w:rPr>
      </w:pPr>
      <w:r>
        <w:rPr>
          <w:rFonts w:ascii="Bookman Old Style" w:hAnsi="Bookman Old Style"/>
          <w:color w:val="000000"/>
          <w:lang w:val="es-ES_tradnl"/>
        </w:rPr>
        <w:t>SECRETARÍA GENERAL</w:t>
      </w:r>
    </w:p>
    <w:p w:rsidR="0044525A" w:rsidRDefault="0044525A" w:rsidP="0044525A">
      <w:pPr>
        <w:adjustRightInd w:val="0"/>
        <w:spacing w:before="28" w:after="28" w:line="288" w:lineRule="auto"/>
        <w:ind w:firstLine="283"/>
        <w:jc w:val="center"/>
        <w:textAlignment w:val="center"/>
        <w:rPr>
          <w:rFonts w:ascii="Bookman Old Style" w:hAnsi="Bookman Old Style"/>
          <w:color w:val="000000"/>
          <w:lang w:val="es-ES_tradnl"/>
        </w:rPr>
      </w:pPr>
      <w:r>
        <w:rPr>
          <w:rFonts w:ascii="Bookman Old Style" w:hAnsi="Bookman Old Style"/>
          <w:color w:val="000000"/>
          <w:lang w:val="es-ES_tradnl"/>
        </w:rPr>
        <w:t>Tramitación de Leyes</w:t>
      </w:r>
    </w:p>
    <w:p w:rsidR="0044525A" w:rsidRDefault="0044525A" w:rsidP="0044525A">
      <w:pPr>
        <w:adjustRightInd w:val="0"/>
        <w:spacing w:before="28" w:after="28" w:line="288" w:lineRule="auto"/>
        <w:ind w:firstLine="283"/>
        <w:jc w:val="both"/>
        <w:textAlignment w:val="center"/>
        <w:rPr>
          <w:rFonts w:ascii="Bookman Old Style" w:hAnsi="Bookman Old Style"/>
          <w:color w:val="000000"/>
          <w:lang w:val="es-ES_tradnl"/>
        </w:rPr>
      </w:pPr>
      <w:r>
        <w:rPr>
          <w:rFonts w:ascii="Bookman Old Style" w:hAnsi="Bookman Old Style"/>
          <w:color w:val="000000"/>
          <w:lang w:val="es-ES_tradnl"/>
        </w:rPr>
        <w:t>Bogotá, D. C., 16 de diciembre de 2013</w:t>
      </w:r>
    </w:p>
    <w:p w:rsidR="0044525A" w:rsidRDefault="0044525A" w:rsidP="0044525A">
      <w:pPr>
        <w:adjustRightInd w:val="0"/>
        <w:spacing w:before="28" w:after="28" w:line="288" w:lineRule="auto"/>
        <w:ind w:firstLine="283"/>
        <w:jc w:val="both"/>
        <w:textAlignment w:val="center"/>
        <w:rPr>
          <w:rFonts w:ascii="Bookman Old Style" w:hAnsi="Bookman Old Style"/>
          <w:color w:val="000000"/>
          <w:lang w:val="es-ES_tradnl"/>
        </w:rPr>
      </w:pPr>
      <w:r>
        <w:rPr>
          <w:rFonts w:ascii="Bookman Old Style" w:hAnsi="Bookman Old Style"/>
          <w:color w:val="000000"/>
          <w:lang w:val="es-ES_tradnl"/>
        </w:rPr>
        <w:t>Señor Presidente:</w:t>
      </w:r>
    </w:p>
    <w:p w:rsidR="0044525A" w:rsidRDefault="0044525A" w:rsidP="0044525A">
      <w:pPr>
        <w:adjustRightInd w:val="0"/>
        <w:spacing w:before="28" w:after="28" w:line="288" w:lineRule="auto"/>
        <w:ind w:firstLine="283"/>
        <w:jc w:val="both"/>
        <w:textAlignment w:val="center"/>
        <w:rPr>
          <w:rFonts w:ascii="Bookman Old Style" w:hAnsi="Bookman Old Style"/>
          <w:color w:val="000000"/>
          <w:spacing w:val="-2"/>
          <w:lang w:val="es-ES_tradnl"/>
        </w:rPr>
      </w:pPr>
      <w:r>
        <w:rPr>
          <w:rFonts w:ascii="Bookman Old Style" w:hAnsi="Bookman Old Style"/>
          <w:color w:val="000000"/>
          <w:spacing w:val="-2"/>
          <w:lang w:val="es-ES_tradnl"/>
        </w:rPr>
        <w:t xml:space="preserve">Con el fin de que se proceda a repartir el </w:t>
      </w:r>
      <w:r>
        <w:rPr>
          <w:rFonts w:ascii="Bookman Old Style" w:hAnsi="Bookman Old Style"/>
          <w:b/>
          <w:bCs/>
          <w:color w:val="000000"/>
          <w:spacing w:val="-2"/>
          <w:lang w:val="es-ES_tradnl"/>
        </w:rPr>
        <w:t>Proyecto de ley número 164 de 2013,</w:t>
      </w:r>
      <w:r>
        <w:rPr>
          <w:rFonts w:ascii="Bookman Old Style" w:hAnsi="Bookman Old Style"/>
          <w:color w:val="000000"/>
          <w:spacing w:val="-2"/>
          <w:lang w:val="es-ES_tradnl"/>
        </w:rPr>
        <w:t xml:space="preserve"> </w:t>
      </w:r>
      <w:r>
        <w:rPr>
          <w:rFonts w:ascii="Bookman Old Style" w:hAnsi="Bookman Old Style"/>
          <w:i/>
          <w:iCs/>
          <w:color w:val="000000"/>
          <w:spacing w:val="-2"/>
          <w:lang w:val="es-ES_tradnl"/>
        </w:rPr>
        <w:t>por medio de la cual se modifica el literal b), numeral 3 del artículo 15 de la Ley 91 de 1989</w:t>
      </w:r>
      <w:r>
        <w:rPr>
          <w:rFonts w:ascii="Bookman Old Style" w:hAnsi="Bookman Old Style"/>
          <w:color w:val="000000"/>
          <w:spacing w:val="-2"/>
          <w:lang w:val="es-ES_tradnl"/>
        </w:rPr>
        <w:t xml:space="preserve">, me permito pasar a su despacho el expediente de la mencionada iniciativa que fue presentada en el día de hoy ante la Secretaría General por el honorable Senador Jorge Eliécer Guevara y el honorable Representante Bérner Zambrano Erazo. La materia de </w:t>
      </w:r>
      <w:proofErr w:type="spellStart"/>
      <w:r>
        <w:rPr>
          <w:rFonts w:ascii="Bookman Old Style" w:hAnsi="Bookman Old Style"/>
          <w:color w:val="000000"/>
          <w:spacing w:val="-2"/>
          <w:lang w:val="es-ES_tradnl"/>
        </w:rPr>
        <w:t>que</w:t>
      </w:r>
      <w:proofErr w:type="spellEnd"/>
      <w:r>
        <w:rPr>
          <w:rFonts w:ascii="Bookman Old Style" w:hAnsi="Bookman Old Style"/>
          <w:color w:val="000000"/>
          <w:spacing w:val="-2"/>
          <w:lang w:val="es-ES_tradnl"/>
        </w:rPr>
        <w:t xml:space="preserve"> trata el mencionado proyecto de ley es competencia de la Comisión Séptima Constitucional Permanente, de conformidad con las disposiciones reglamentarias y de ley. </w:t>
      </w:r>
    </w:p>
    <w:p w:rsidR="0044525A" w:rsidRDefault="0044525A" w:rsidP="0044525A">
      <w:pPr>
        <w:adjustRightInd w:val="0"/>
        <w:spacing w:before="28" w:after="28" w:line="288" w:lineRule="auto"/>
        <w:ind w:firstLine="283"/>
        <w:jc w:val="both"/>
        <w:textAlignment w:val="center"/>
        <w:rPr>
          <w:rFonts w:ascii="Bookman Old Style" w:hAnsi="Bookman Old Style"/>
          <w:color w:val="000000"/>
          <w:lang w:val="es-ES_tradnl"/>
        </w:rPr>
      </w:pPr>
      <w:r>
        <w:rPr>
          <w:rFonts w:ascii="Bookman Old Style" w:hAnsi="Bookman Old Style"/>
          <w:color w:val="000000"/>
          <w:lang w:val="es-ES_tradnl"/>
        </w:rPr>
        <w:t>El Secretario General,</w:t>
      </w:r>
    </w:p>
    <w:p w:rsidR="0044525A" w:rsidRDefault="0044525A" w:rsidP="0044525A">
      <w:pPr>
        <w:adjustRightInd w:val="0"/>
        <w:spacing w:before="28" w:after="28" w:line="288" w:lineRule="auto"/>
        <w:ind w:firstLine="283"/>
        <w:jc w:val="right"/>
        <w:textAlignment w:val="center"/>
        <w:rPr>
          <w:rFonts w:ascii="Bookman Old Style" w:hAnsi="Bookman Old Style"/>
          <w:i/>
          <w:iCs/>
          <w:color w:val="000000"/>
          <w:lang w:val="es-ES_tradnl"/>
        </w:rPr>
      </w:pPr>
      <w:r>
        <w:rPr>
          <w:rFonts w:ascii="Bookman Old Style" w:hAnsi="Bookman Old Style"/>
          <w:i/>
          <w:iCs/>
          <w:color w:val="000000"/>
          <w:lang w:val="es-ES_tradnl"/>
        </w:rPr>
        <w:t xml:space="preserve">Gregorio </w:t>
      </w:r>
      <w:proofErr w:type="spellStart"/>
      <w:r>
        <w:rPr>
          <w:rFonts w:ascii="Bookman Old Style" w:hAnsi="Bookman Old Style"/>
          <w:i/>
          <w:iCs/>
          <w:color w:val="000000"/>
          <w:lang w:val="es-ES_tradnl"/>
        </w:rPr>
        <w:t>Eljach</w:t>
      </w:r>
      <w:proofErr w:type="spellEnd"/>
      <w:r>
        <w:rPr>
          <w:rFonts w:ascii="Bookman Old Style" w:hAnsi="Bookman Old Style"/>
          <w:i/>
          <w:iCs/>
          <w:color w:val="000000"/>
          <w:lang w:val="es-ES_tradnl"/>
        </w:rPr>
        <w:t xml:space="preserve"> Pacheco.</w:t>
      </w:r>
    </w:p>
    <w:p w:rsidR="0044525A" w:rsidRDefault="0044525A" w:rsidP="0044525A">
      <w:pPr>
        <w:spacing w:before="28" w:after="28" w:line="288" w:lineRule="auto"/>
        <w:jc w:val="center"/>
        <w:textAlignment w:val="center"/>
        <w:rPr>
          <w:rFonts w:ascii="Bookman Old Style" w:hAnsi="Bookman Old Style"/>
          <w:color w:val="000000"/>
          <w:lang w:val="es-ES_tradnl"/>
        </w:rPr>
      </w:pPr>
    </w:p>
    <w:p w:rsidR="0044525A" w:rsidRDefault="0044525A" w:rsidP="0044525A">
      <w:pPr>
        <w:adjustRightInd w:val="0"/>
        <w:spacing w:before="28" w:after="28" w:line="288" w:lineRule="auto"/>
        <w:jc w:val="center"/>
        <w:textAlignment w:val="center"/>
        <w:rPr>
          <w:rFonts w:ascii="Bookman Old Style" w:hAnsi="Bookman Old Style"/>
          <w:color w:val="000000"/>
          <w:lang w:val="es-ES_tradnl"/>
        </w:rPr>
      </w:pPr>
      <w:r>
        <w:rPr>
          <w:rFonts w:ascii="Bookman Old Style" w:hAnsi="Bookman Old Style"/>
          <w:color w:val="000000"/>
          <w:lang w:val="es-ES_tradnl"/>
        </w:rPr>
        <w:t xml:space="preserve">PRESIDENCIA DEL HONORABLE SENADO DE LA REPÚBLICA </w:t>
      </w:r>
    </w:p>
    <w:p w:rsidR="0044525A" w:rsidRDefault="0044525A" w:rsidP="0044525A">
      <w:pPr>
        <w:adjustRightInd w:val="0"/>
        <w:spacing w:before="28" w:after="28" w:line="288" w:lineRule="auto"/>
        <w:ind w:firstLine="283"/>
        <w:jc w:val="both"/>
        <w:textAlignment w:val="center"/>
        <w:rPr>
          <w:rFonts w:ascii="Bookman Old Style" w:hAnsi="Bookman Old Style"/>
          <w:color w:val="000000"/>
          <w:lang w:val="es-ES_tradnl"/>
        </w:rPr>
      </w:pPr>
      <w:r>
        <w:rPr>
          <w:rFonts w:ascii="Bookman Old Style" w:hAnsi="Bookman Old Style"/>
          <w:color w:val="000000"/>
          <w:lang w:val="es-ES_tradnl"/>
        </w:rPr>
        <w:t>Diciembre 16 de 2013</w:t>
      </w:r>
    </w:p>
    <w:p w:rsidR="0044525A" w:rsidRDefault="0044525A" w:rsidP="0044525A">
      <w:pPr>
        <w:adjustRightInd w:val="0"/>
        <w:spacing w:before="28" w:after="28" w:line="288" w:lineRule="auto"/>
        <w:ind w:firstLine="283"/>
        <w:jc w:val="both"/>
        <w:textAlignment w:val="center"/>
        <w:rPr>
          <w:rFonts w:ascii="Bookman Old Style" w:hAnsi="Bookman Old Style"/>
          <w:color w:val="000000"/>
          <w:spacing w:val="-5"/>
          <w:lang w:val="es-ES_tradnl"/>
        </w:rPr>
      </w:pPr>
      <w:r>
        <w:rPr>
          <w:rFonts w:ascii="Bookman Old Style" w:hAnsi="Bookman Old Style"/>
          <w:color w:val="000000"/>
          <w:spacing w:val="-5"/>
          <w:lang w:val="es-ES_tradnl"/>
        </w:rPr>
        <w:t xml:space="preserve">De conformidad con el informe de Secretaría General, dese por repartido el proyecto de ley de la referencia a la Comisión Séptima Constitucional y envíese copia del mismo a la Imprenta Nacional con el fin de que sea publicado en la </w:t>
      </w:r>
      <w:r>
        <w:rPr>
          <w:rFonts w:ascii="Bookman Old Style" w:hAnsi="Bookman Old Style"/>
          <w:b/>
          <w:bCs/>
          <w:i/>
          <w:iCs/>
          <w:color w:val="000000"/>
          <w:spacing w:val="-5"/>
          <w:lang w:val="es-ES_tradnl"/>
        </w:rPr>
        <w:t>Gaceta del Congreso</w:t>
      </w:r>
      <w:r>
        <w:rPr>
          <w:rFonts w:ascii="Bookman Old Style" w:hAnsi="Bookman Old Style"/>
          <w:color w:val="000000"/>
          <w:spacing w:val="-5"/>
          <w:lang w:val="es-ES_tradnl"/>
        </w:rPr>
        <w:t xml:space="preserve">. </w:t>
      </w:r>
    </w:p>
    <w:p w:rsidR="0044525A" w:rsidRDefault="0044525A" w:rsidP="0044525A">
      <w:pPr>
        <w:adjustRightInd w:val="0"/>
        <w:spacing w:before="28" w:after="28" w:line="288" w:lineRule="auto"/>
        <w:ind w:firstLine="283"/>
        <w:jc w:val="both"/>
        <w:textAlignment w:val="center"/>
        <w:rPr>
          <w:rFonts w:ascii="Bookman Old Style" w:hAnsi="Bookman Old Style"/>
          <w:color w:val="000000"/>
          <w:lang w:val="es-ES_tradnl"/>
        </w:rPr>
      </w:pPr>
      <w:r>
        <w:rPr>
          <w:rFonts w:ascii="Bookman Old Style" w:hAnsi="Bookman Old Style"/>
          <w:color w:val="000000"/>
          <w:lang w:val="es-ES_tradnl"/>
        </w:rPr>
        <w:t>Cúmplase.</w:t>
      </w:r>
    </w:p>
    <w:p w:rsidR="0044525A" w:rsidRDefault="0044525A" w:rsidP="0044525A">
      <w:pPr>
        <w:adjustRightInd w:val="0"/>
        <w:spacing w:before="28" w:after="28" w:line="288" w:lineRule="auto"/>
        <w:ind w:firstLine="283"/>
        <w:jc w:val="both"/>
        <w:textAlignment w:val="center"/>
        <w:rPr>
          <w:rFonts w:ascii="Bookman Old Style" w:hAnsi="Bookman Old Style"/>
          <w:color w:val="000000"/>
          <w:lang w:val="es-ES_tradnl"/>
        </w:rPr>
      </w:pPr>
      <w:r>
        <w:rPr>
          <w:rFonts w:ascii="Bookman Old Style" w:hAnsi="Bookman Old Style"/>
          <w:color w:val="000000"/>
          <w:lang w:val="es-ES_tradnl"/>
        </w:rPr>
        <w:t xml:space="preserve">El Presidente del honorable Senado de la República, </w:t>
      </w:r>
    </w:p>
    <w:p w:rsidR="0044525A" w:rsidRDefault="0044525A" w:rsidP="0044525A">
      <w:pPr>
        <w:adjustRightInd w:val="0"/>
        <w:spacing w:before="28" w:after="28" w:line="288" w:lineRule="auto"/>
        <w:ind w:firstLine="283"/>
        <w:jc w:val="right"/>
        <w:textAlignment w:val="center"/>
        <w:rPr>
          <w:rFonts w:ascii="Bookman Old Style" w:hAnsi="Bookman Old Style"/>
          <w:i/>
          <w:iCs/>
          <w:color w:val="000000"/>
          <w:lang w:val="es-ES_tradnl"/>
        </w:rPr>
      </w:pPr>
      <w:r>
        <w:rPr>
          <w:rFonts w:ascii="Bookman Old Style" w:hAnsi="Bookman Old Style"/>
          <w:i/>
          <w:iCs/>
          <w:color w:val="000000"/>
          <w:lang w:val="es-ES_tradnl"/>
        </w:rPr>
        <w:t xml:space="preserve">Juan Fernando Cristo Bustos. </w:t>
      </w:r>
    </w:p>
    <w:p w:rsidR="0044525A" w:rsidRDefault="0044525A" w:rsidP="0044525A">
      <w:pPr>
        <w:adjustRightInd w:val="0"/>
        <w:spacing w:before="28" w:after="28" w:line="288" w:lineRule="auto"/>
        <w:ind w:firstLine="283"/>
        <w:jc w:val="both"/>
        <w:textAlignment w:val="center"/>
        <w:rPr>
          <w:rFonts w:ascii="Bookman Old Style" w:hAnsi="Bookman Old Style"/>
          <w:color w:val="000000"/>
          <w:lang w:val="es-ES_tradnl"/>
        </w:rPr>
      </w:pPr>
      <w:r>
        <w:rPr>
          <w:rFonts w:ascii="Bookman Old Style" w:hAnsi="Bookman Old Style"/>
          <w:color w:val="000000"/>
          <w:lang w:val="es-ES_tradnl"/>
        </w:rPr>
        <w:t xml:space="preserve">El Secretario General del honorable Senado de la República, </w:t>
      </w:r>
    </w:p>
    <w:p w:rsidR="0044525A" w:rsidRDefault="0044525A" w:rsidP="0044525A">
      <w:pPr>
        <w:adjustRightInd w:val="0"/>
        <w:spacing w:before="28" w:after="28" w:line="288" w:lineRule="auto"/>
        <w:ind w:firstLine="283"/>
        <w:jc w:val="right"/>
        <w:textAlignment w:val="center"/>
        <w:rPr>
          <w:rFonts w:ascii="Bookman Old Style" w:hAnsi="Bookman Old Style"/>
          <w:i/>
          <w:iCs/>
          <w:color w:val="000000"/>
          <w:lang w:val="es-ES_tradnl"/>
        </w:rPr>
      </w:pPr>
      <w:r>
        <w:rPr>
          <w:rFonts w:ascii="Bookman Old Style" w:hAnsi="Bookman Old Style"/>
          <w:i/>
          <w:iCs/>
          <w:color w:val="000000"/>
          <w:lang w:val="es-ES_tradnl"/>
        </w:rPr>
        <w:t xml:space="preserve">Gregorio </w:t>
      </w:r>
      <w:proofErr w:type="spellStart"/>
      <w:r>
        <w:rPr>
          <w:rFonts w:ascii="Bookman Old Style" w:hAnsi="Bookman Old Style"/>
          <w:i/>
          <w:iCs/>
          <w:color w:val="000000"/>
          <w:lang w:val="es-ES_tradnl"/>
        </w:rPr>
        <w:t>Eljach</w:t>
      </w:r>
      <w:proofErr w:type="spellEnd"/>
      <w:r>
        <w:rPr>
          <w:rFonts w:ascii="Bookman Old Style" w:hAnsi="Bookman Old Style"/>
          <w:i/>
          <w:iCs/>
          <w:color w:val="000000"/>
          <w:lang w:val="es-ES_tradnl"/>
        </w:rPr>
        <w:t xml:space="preserve"> Pacheco.</w:t>
      </w:r>
    </w:p>
    <w:p w:rsidR="0044525A" w:rsidRDefault="0044525A" w:rsidP="0044525A">
      <w:pPr>
        <w:pStyle w:val="Textosinformato"/>
        <w:rPr>
          <w:rFonts w:ascii="Bookman Old Style" w:hAnsi="Bookman Old Style"/>
        </w:rPr>
      </w:pPr>
    </w:p>
    <w:p w:rsidR="0044525A" w:rsidRDefault="0044525A" w:rsidP="0044525A">
      <w:pPr>
        <w:rPr>
          <w:rFonts w:ascii="Bookman Old Style" w:hAnsi="Bookman Old Style"/>
          <w:color w:val="000000"/>
          <w:lang w:val="es-ES_tradnl"/>
        </w:rPr>
      </w:pPr>
    </w:p>
    <w:p w:rsidR="004C768E" w:rsidRDefault="004C768E">
      <w:bookmarkStart w:id="0" w:name="_GoBack"/>
      <w:bookmarkEnd w:id="0"/>
    </w:p>
    <w:sectPr w:rsidR="004C768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525A"/>
    <w:rsid w:val="0044525A"/>
    <w:rsid w:val="004C768E"/>
    <w:rsid w:val="0099613C"/>
    <w:rsid w:val="00AA62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525A"/>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44525A"/>
    <w:pPr>
      <w:spacing w:before="100" w:beforeAutospacing="1" w:after="100" w:afterAutospacing="1"/>
    </w:pPr>
  </w:style>
  <w:style w:type="character" w:styleId="Textoennegrita">
    <w:name w:val="Strong"/>
    <w:basedOn w:val="Fuentedeprrafopredeter"/>
    <w:uiPriority w:val="22"/>
    <w:qFormat/>
    <w:rsid w:val="0044525A"/>
    <w:rPr>
      <w:b/>
      <w:bCs/>
    </w:rPr>
  </w:style>
  <w:style w:type="paragraph" w:styleId="Textosinformato">
    <w:name w:val="Plain Text"/>
    <w:basedOn w:val="Normal"/>
    <w:link w:val="TextosinformatoCar"/>
    <w:rsid w:val="0044525A"/>
    <w:rPr>
      <w:rFonts w:ascii="Courier New" w:hAnsi="Courier New" w:cs="Courier New"/>
      <w:sz w:val="20"/>
      <w:szCs w:val="20"/>
    </w:rPr>
  </w:style>
  <w:style w:type="character" w:customStyle="1" w:styleId="TextosinformatoCar">
    <w:name w:val="Texto sin formato Car"/>
    <w:basedOn w:val="Fuentedeprrafopredeter"/>
    <w:link w:val="Textosinformato"/>
    <w:rsid w:val="0044525A"/>
    <w:rPr>
      <w:rFonts w:ascii="Courier New" w:eastAsia="Times New Roman" w:hAnsi="Courier New" w:cs="Courier New"/>
      <w:sz w:val="2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525A"/>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44525A"/>
    <w:pPr>
      <w:spacing w:before="100" w:beforeAutospacing="1" w:after="100" w:afterAutospacing="1"/>
    </w:pPr>
  </w:style>
  <w:style w:type="character" w:styleId="Textoennegrita">
    <w:name w:val="Strong"/>
    <w:basedOn w:val="Fuentedeprrafopredeter"/>
    <w:uiPriority w:val="22"/>
    <w:qFormat/>
    <w:rsid w:val="0044525A"/>
    <w:rPr>
      <w:b/>
      <w:bCs/>
    </w:rPr>
  </w:style>
  <w:style w:type="paragraph" w:styleId="Textosinformato">
    <w:name w:val="Plain Text"/>
    <w:basedOn w:val="Normal"/>
    <w:link w:val="TextosinformatoCar"/>
    <w:rsid w:val="0044525A"/>
    <w:rPr>
      <w:rFonts w:ascii="Courier New" w:hAnsi="Courier New" w:cs="Courier New"/>
      <w:sz w:val="20"/>
      <w:szCs w:val="20"/>
    </w:rPr>
  </w:style>
  <w:style w:type="character" w:customStyle="1" w:styleId="TextosinformatoCar">
    <w:name w:val="Texto sin formato Car"/>
    <w:basedOn w:val="Fuentedeprrafopredeter"/>
    <w:link w:val="Textosinformato"/>
    <w:rsid w:val="0044525A"/>
    <w:rPr>
      <w:rFonts w:ascii="Courier New" w:eastAsia="Times New Roman" w:hAnsi="Courier New" w:cs="Courier New"/>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4197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2219</Words>
  <Characters>12205</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USR001</dc:creator>
  <cp:lastModifiedBy>USR001</cp:lastModifiedBy>
  <cp:revision>1</cp:revision>
  <dcterms:created xsi:type="dcterms:W3CDTF">2014-04-07T20:57:00Z</dcterms:created>
  <dcterms:modified xsi:type="dcterms:W3CDTF">2014-04-07T20:58:00Z</dcterms:modified>
</cp:coreProperties>
</file>