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DF" w:rsidRPr="00CA696C" w:rsidRDefault="007C0CDF" w:rsidP="007C0CDF">
      <w:pPr>
        <w:spacing w:after="0" w:line="240" w:lineRule="auto"/>
        <w:jc w:val="center"/>
        <w:textAlignment w:val="center"/>
        <w:rPr>
          <w:rFonts w:ascii="Arial" w:hAnsi="Arial" w:cs="Arial"/>
          <w:b/>
          <w:sz w:val="24"/>
          <w:szCs w:val="24"/>
        </w:rPr>
      </w:pPr>
      <w:r w:rsidRPr="00CA696C">
        <w:rPr>
          <w:rFonts w:ascii="Arial" w:hAnsi="Arial" w:cs="Arial"/>
          <w:b/>
          <w:sz w:val="24"/>
          <w:szCs w:val="24"/>
        </w:rPr>
        <w:t xml:space="preserve">PL No.  </w:t>
      </w:r>
      <w:r w:rsidR="0058328E" w:rsidRPr="00CA696C">
        <w:rPr>
          <w:rFonts w:ascii="Arial" w:hAnsi="Arial" w:cs="Arial"/>
          <w:b/>
          <w:sz w:val="24"/>
          <w:szCs w:val="24"/>
        </w:rPr>
        <w:t>De</w:t>
      </w:r>
      <w:r w:rsidRPr="00CA696C">
        <w:rPr>
          <w:rFonts w:ascii="Arial" w:hAnsi="Arial" w:cs="Arial"/>
          <w:b/>
          <w:sz w:val="24"/>
          <w:szCs w:val="24"/>
        </w:rPr>
        <w:t xml:space="preserve"> 2021 Cámara</w:t>
      </w:r>
    </w:p>
    <w:p w:rsidR="007C0CDF" w:rsidRPr="00CA696C" w:rsidRDefault="007C0CDF" w:rsidP="007C0CDF">
      <w:pPr>
        <w:spacing w:after="0" w:line="240" w:lineRule="auto"/>
        <w:jc w:val="center"/>
        <w:textAlignment w:val="center"/>
        <w:rPr>
          <w:rFonts w:ascii="Arial" w:hAnsi="Arial" w:cs="Arial"/>
          <w:b/>
          <w:sz w:val="24"/>
          <w:szCs w:val="24"/>
        </w:rPr>
      </w:pPr>
    </w:p>
    <w:p w:rsidR="007C0CDF" w:rsidRPr="00CA696C" w:rsidRDefault="007C0CDF" w:rsidP="007C0CDF">
      <w:pPr>
        <w:spacing w:after="0" w:line="240" w:lineRule="auto"/>
        <w:jc w:val="center"/>
        <w:textAlignment w:val="center"/>
        <w:rPr>
          <w:rFonts w:ascii="Arial" w:eastAsia="Times New Roman" w:hAnsi="Arial" w:cs="Arial"/>
          <w:b/>
          <w:bCs/>
          <w:caps/>
          <w:color w:val="000000"/>
          <w:sz w:val="24"/>
          <w:szCs w:val="24"/>
        </w:rPr>
      </w:pPr>
      <w:r w:rsidRPr="00CA696C">
        <w:rPr>
          <w:rFonts w:ascii="Arial" w:hAnsi="Arial" w:cs="Arial"/>
          <w:b/>
          <w:sz w:val="24"/>
          <w:szCs w:val="24"/>
        </w:rPr>
        <w:t xml:space="preserve"> </w:t>
      </w:r>
      <w:r w:rsidRPr="00CA696C">
        <w:rPr>
          <w:rFonts w:ascii="Arial" w:hAnsi="Arial" w:cs="Arial"/>
          <w:sz w:val="24"/>
          <w:szCs w:val="24"/>
        </w:rPr>
        <w:t>“Por medio de la cual se autoriza a la Asamblea del Departamento del Casanare para emitir la estampilla pro- Hospitales Públicos, Centros de Salud Públicos y Puestos de Salud públicos del Casanare”,</w:t>
      </w:r>
    </w:p>
    <w:p w:rsidR="00086A7A" w:rsidRPr="00CA696C" w:rsidRDefault="00086A7A" w:rsidP="007C0CDF">
      <w:pPr>
        <w:jc w:val="center"/>
        <w:rPr>
          <w:rFonts w:ascii="Arial" w:hAnsi="Arial" w:cs="Arial"/>
          <w:b/>
          <w:sz w:val="24"/>
          <w:szCs w:val="24"/>
        </w:rPr>
      </w:pPr>
    </w:p>
    <w:p w:rsidR="007C0CDF" w:rsidRPr="00CA696C" w:rsidRDefault="007C0CDF" w:rsidP="007C0CDF">
      <w:pPr>
        <w:jc w:val="center"/>
        <w:rPr>
          <w:rFonts w:ascii="Arial" w:hAnsi="Arial" w:cs="Arial"/>
          <w:b/>
          <w:sz w:val="24"/>
          <w:szCs w:val="24"/>
        </w:rPr>
      </w:pPr>
      <w:r w:rsidRPr="00CA696C">
        <w:rPr>
          <w:rFonts w:ascii="Arial" w:hAnsi="Arial" w:cs="Arial"/>
          <w:b/>
          <w:sz w:val="24"/>
          <w:szCs w:val="24"/>
        </w:rPr>
        <w:t>EL CONGRESO DE LA REPUBLICA</w:t>
      </w:r>
    </w:p>
    <w:p w:rsidR="007C0CDF" w:rsidRPr="00CA696C" w:rsidRDefault="007C0CDF" w:rsidP="007C0CDF">
      <w:pPr>
        <w:jc w:val="center"/>
        <w:rPr>
          <w:rFonts w:ascii="Arial" w:hAnsi="Arial" w:cs="Arial"/>
          <w:b/>
          <w:sz w:val="24"/>
          <w:szCs w:val="24"/>
        </w:rPr>
      </w:pPr>
      <w:r w:rsidRPr="00CA696C">
        <w:rPr>
          <w:rFonts w:ascii="Arial" w:hAnsi="Arial" w:cs="Arial"/>
          <w:b/>
          <w:sz w:val="24"/>
          <w:szCs w:val="24"/>
        </w:rPr>
        <w:t xml:space="preserve"> DECRETA</w:t>
      </w:r>
      <w:r w:rsidR="00CA696C" w:rsidRPr="00CA696C">
        <w:rPr>
          <w:rFonts w:ascii="Arial" w:hAnsi="Arial" w:cs="Arial"/>
          <w:b/>
          <w:sz w:val="24"/>
          <w:szCs w:val="24"/>
        </w:rPr>
        <w:t>:</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ARTÍCULO 1°. Objeto.</w:t>
      </w:r>
      <w:r w:rsidRPr="00CA696C">
        <w:rPr>
          <w:rFonts w:ascii="Arial" w:eastAsia="Times New Roman" w:hAnsi="Arial" w:cs="Arial"/>
          <w:color w:val="000000"/>
          <w:sz w:val="24"/>
          <w:szCs w:val="24"/>
        </w:rPr>
        <w:t xml:space="preserve"> Autorícese a la Asamblea del departamento del Casanare para que ordene la emisión de la Estampilla </w:t>
      </w:r>
      <w:r w:rsidRPr="00CA696C">
        <w:rPr>
          <w:rFonts w:ascii="Arial" w:eastAsia="Times New Roman" w:hAnsi="Arial" w:cs="Arial"/>
          <w:i/>
          <w:color w:val="000000"/>
          <w:sz w:val="24"/>
          <w:szCs w:val="24"/>
        </w:rPr>
        <w:t xml:space="preserve">Pro-Hospitales Públicos, Centros de Salud Públicos y Puestos de Salud Públicos del </w:t>
      </w:r>
      <w:r w:rsidR="00552507" w:rsidRPr="00CA696C">
        <w:rPr>
          <w:rFonts w:ascii="Arial" w:eastAsia="Times New Roman" w:hAnsi="Arial" w:cs="Arial"/>
          <w:i/>
          <w:color w:val="000000"/>
          <w:sz w:val="24"/>
          <w:szCs w:val="24"/>
        </w:rPr>
        <w:t>Casanare</w:t>
      </w:r>
      <w:r w:rsidRPr="00CA696C">
        <w:rPr>
          <w:rFonts w:ascii="Arial" w:eastAsia="Times New Roman" w:hAnsi="Arial" w:cs="Arial"/>
          <w:color w:val="000000"/>
          <w:sz w:val="24"/>
          <w:szCs w:val="24"/>
        </w:rPr>
        <w:t xml:space="preserve">, hasta por la suma de trescientos mil millones de pesos ($300.000.000.000.)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hAnsi="Arial" w:cs="Arial"/>
          <w:sz w:val="24"/>
          <w:szCs w:val="24"/>
        </w:rPr>
        <w:t>Este valor será en pesos colombianos constantes a la fecha de expedición de la presente ley</w:t>
      </w:r>
      <w:r w:rsidR="00E74184" w:rsidRPr="00CA696C">
        <w:rPr>
          <w:rFonts w:ascii="Arial" w:hAnsi="Arial" w:cs="Arial"/>
          <w:sz w:val="24"/>
          <w:szCs w:val="24"/>
        </w:rPr>
        <w:t xml:space="preserve"> y se suspenderá el recaudo de la estampilla una vez cumplido el tope mencionado o una vez cumplido el término de 15 años de la emisión de la estampilla</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b/>
          <w:color w:val="000000"/>
          <w:sz w:val="24"/>
          <w:szCs w:val="24"/>
          <w:u w:val="single"/>
        </w:rPr>
      </w:pPr>
      <w:r w:rsidRPr="00CA696C">
        <w:rPr>
          <w:rFonts w:ascii="Arial" w:eastAsia="Times New Roman" w:hAnsi="Arial" w:cs="Arial"/>
          <w:b/>
          <w:color w:val="000000"/>
          <w:sz w:val="24"/>
          <w:szCs w:val="24"/>
          <w:u w:val="single"/>
        </w:rPr>
        <w:t>ARTÍCULO 2°. Destinación.</w:t>
      </w:r>
      <w:r w:rsidRPr="00CA696C">
        <w:rPr>
          <w:rFonts w:ascii="Arial" w:eastAsia="Times New Roman" w:hAnsi="Arial" w:cs="Arial"/>
          <w:color w:val="000000"/>
          <w:sz w:val="24"/>
          <w:szCs w:val="24"/>
        </w:rPr>
        <w:t xml:space="preserve"> El recaudo obtenido por el uso de la estampilla se destinará a los gastos e inversiones de los Hospitales Públicos del Departamento del </w:t>
      </w:r>
      <w:r w:rsidR="00E74184" w:rsidRPr="00CA696C">
        <w:rPr>
          <w:rFonts w:ascii="Arial" w:eastAsia="Times New Roman" w:hAnsi="Arial" w:cs="Arial"/>
          <w:color w:val="000000"/>
          <w:sz w:val="24"/>
          <w:szCs w:val="24"/>
        </w:rPr>
        <w:t>Casanare</w:t>
      </w:r>
      <w:r w:rsidR="00E74184" w:rsidRPr="00CA696C">
        <w:rPr>
          <w:rFonts w:ascii="Arial" w:eastAsia="Times New Roman" w:hAnsi="Arial" w:cs="Arial"/>
          <w:b/>
          <w:color w:val="000000"/>
          <w:sz w:val="24"/>
          <w:szCs w:val="24"/>
          <w:u w:val="single"/>
        </w:rPr>
        <w:t xml:space="preserve"> </w:t>
      </w:r>
      <w:r w:rsidR="00E74184" w:rsidRPr="00CA696C">
        <w:rPr>
          <w:rFonts w:ascii="Arial" w:eastAsia="Times New Roman" w:hAnsi="Arial" w:cs="Arial"/>
          <w:color w:val="000000"/>
          <w:sz w:val="24"/>
          <w:szCs w:val="24"/>
        </w:rPr>
        <w:t>p</w:t>
      </w:r>
      <w:r w:rsidRPr="00CA696C">
        <w:rPr>
          <w:rFonts w:ascii="Arial" w:eastAsia="Times New Roman" w:hAnsi="Arial" w:cs="Arial"/>
          <w:color w:val="000000"/>
          <w:sz w:val="24"/>
          <w:szCs w:val="24"/>
        </w:rPr>
        <w:t xml:space="preserve">rioritariamente a: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Mantenimiento, ampliación y remodelación de la planta física de las entidades a las que hace referencia el artículo 1º. </w:t>
      </w: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Adquisición, mantenimiento o reparación de los equipos requeridos por los diversos servicios que prestan las instituciones a que se refiere el artículo anterior para desarrollar y cumplir adecuadamente con la función propia de cada una. </w:t>
      </w: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Dotación de instrumentos para los diferentes servicios. </w:t>
      </w: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Compra de suministros necesarios para la prestación del servicio de salud. </w:t>
      </w: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Compra y mantenimiento de los equipos requeridos para poner en funcionamiento nuevas áreas de laboratorio, científicas, tecnológicas y otras que se requieran para su cabal funcionamiento. </w:t>
      </w:r>
    </w:p>
    <w:p w:rsidR="007C0CDF" w:rsidRPr="00CA696C" w:rsidRDefault="007C0CDF" w:rsidP="007C0CDF">
      <w:pPr>
        <w:pStyle w:val="Prrafodelista"/>
        <w:numPr>
          <w:ilvl w:val="0"/>
          <w:numId w:val="1"/>
        </w:numPr>
        <w:spacing w:after="0" w:line="240" w:lineRule="auto"/>
        <w:jc w:val="both"/>
        <w:textAlignment w:val="center"/>
        <w:rPr>
          <w:rFonts w:ascii="Arial" w:eastAsia="Times New Roman" w:hAnsi="Arial" w:cs="Arial"/>
          <w:color w:val="000000"/>
          <w:sz w:val="24"/>
          <w:szCs w:val="24"/>
          <w:lang w:val="es-ES_tradnl" w:eastAsia="es-CO"/>
        </w:rPr>
      </w:pPr>
      <w:r w:rsidRPr="00CA696C">
        <w:rPr>
          <w:rFonts w:ascii="Arial" w:eastAsia="Times New Roman" w:hAnsi="Arial" w:cs="Arial"/>
          <w:color w:val="000000"/>
          <w:sz w:val="24"/>
          <w:szCs w:val="24"/>
          <w:lang w:val="es-ES_tradnl" w:eastAsia="es-CO"/>
        </w:rPr>
        <w:t xml:space="preserve">Adquisición y mantenimiento de nuevas tecnologías a fin de dotar a las diferentes áreas asistenciales de las entidades a las que hace referencia el artículo 1º, en especial las de laboratorio, unidades de diagnóstico, unidades de cuidados intensivos, de hospitalización, biotecnología, informática o comunicaciones, de capacidad para atender la demanda de servicios por parte de la población del Departamento.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b/>
          <w:color w:val="000000"/>
          <w:sz w:val="24"/>
          <w:szCs w:val="24"/>
          <w:u w:val="single"/>
        </w:rPr>
      </w:pPr>
    </w:p>
    <w:p w:rsidR="00E74184" w:rsidRPr="00CA696C"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lastRenderedPageBreak/>
        <w:t xml:space="preserve">PARÁGRAFO </w:t>
      </w:r>
      <w:r w:rsidR="006A1A40" w:rsidRPr="00CA696C">
        <w:rPr>
          <w:rFonts w:ascii="Arial" w:eastAsia="Times New Roman" w:hAnsi="Arial" w:cs="Arial"/>
          <w:b/>
          <w:color w:val="000000"/>
          <w:sz w:val="24"/>
          <w:szCs w:val="24"/>
          <w:u w:val="single"/>
        </w:rPr>
        <w:t>1</w:t>
      </w:r>
      <w:r w:rsidRPr="00CA696C">
        <w:rPr>
          <w:rFonts w:ascii="Arial" w:eastAsia="Times New Roman" w:hAnsi="Arial" w:cs="Arial"/>
          <w:b/>
          <w:color w:val="000000"/>
          <w:sz w:val="24"/>
          <w:szCs w:val="24"/>
          <w:u w:val="single"/>
        </w:rPr>
        <w:t>.</w:t>
      </w:r>
      <w:r w:rsidRPr="00CA696C">
        <w:rPr>
          <w:rFonts w:ascii="Arial" w:eastAsia="Times New Roman" w:hAnsi="Arial" w:cs="Arial"/>
          <w:color w:val="000000"/>
          <w:sz w:val="24"/>
          <w:szCs w:val="24"/>
        </w:rPr>
        <w:t xml:space="preserve"> Los recaudos provenientes de la estampilla se asignarán de acuerdo con las necesidades que </w:t>
      </w:r>
      <w:r w:rsidR="00E74184" w:rsidRPr="00CA696C">
        <w:rPr>
          <w:rFonts w:ascii="Arial" w:eastAsia="Times New Roman" w:hAnsi="Arial" w:cs="Arial"/>
          <w:color w:val="000000"/>
          <w:sz w:val="24"/>
          <w:szCs w:val="24"/>
        </w:rPr>
        <w:t xml:space="preserve">presenten los </w:t>
      </w:r>
      <w:r w:rsidRPr="00CA696C">
        <w:rPr>
          <w:rFonts w:ascii="Arial" w:eastAsia="Times New Roman" w:hAnsi="Arial" w:cs="Arial"/>
          <w:color w:val="000000"/>
          <w:sz w:val="24"/>
          <w:szCs w:val="24"/>
        </w:rPr>
        <w:t xml:space="preserve">hospitales públicos de los diferentes niveles, los centros </w:t>
      </w:r>
      <w:r w:rsidR="00E74184" w:rsidRPr="00CA696C">
        <w:rPr>
          <w:rFonts w:ascii="Arial" w:eastAsia="Times New Roman" w:hAnsi="Arial" w:cs="Arial"/>
          <w:color w:val="000000"/>
          <w:sz w:val="24"/>
          <w:szCs w:val="24"/>
        </w:rPr>
        <w:t>de salud y los puestos de salud.</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DB3693" w:rsidRPr="00CA696C" w:rsidRDefault="006A1A40" w:rsidP="00DB3693">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PARÁGRAFO 2</w:t>
      </w:r>
      <w:r w:rsidR="00DB3693" w:rsidRPr="00CA696C">
        <w:rPr>
          <w:rFonts w:ascii="Arial" w:eastAsia="Times New Roman" w:hAnsi="Arial" w:cs="Arial"/>
          <w:b/>
          <w:color w:val="000000"/>
          <w:sz w:val="24"/>
          <w:szCs w:val="24"/>
          <w:u w:val="single"/>
        </w:rPr>
        <w:t>.</w:t>
      </w:r>
      <w:r w:rsidR="00DB3693" w:rsidRPr="00CA696C">
        <w:rPr>
          <w:rFonts w:ascii="Arial" w:eastAsia="Times New Roman" w:hAnsi="Arial" w:cs="Arial"/>
          <w:color w:val="000000"/>
          <w:sz w:val="24"/>
          <w:szCs w:val="24"/>
        </w:rPr>
        <w:t xml:space="preserve"> De conformidad con el artículo 47 de la Ley 863 de 2003, los ingresos que perciban las entidades territoriales por concepto de estampillas autorizadas por la ley serán objeto de una retención equivalente al veinte por ciento (20%) con destino a los fondos de pensiones de la entidad destinataria de dichos recaudos. En caso de no existir pasivo pensional en dicha entidad, esta deberá destinar los recursos de acuerdo al presente artículo, previa verificación de la no existencia del pasivo pensional territorial. </w:t>
      </w:r>
    </w:p>
    <w:p w:rsidR="00DB3693" w:rsidRPr="00CA696C" w:rsidRDefault="00DB3693" w:rsidP="00DB3693">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C81D76" w:rsidRPr="00CA696C"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 xml:space="preserve">ARTÍCULO 3°. </w:t>
      </w:r>
      <w:r w:rsidR="00C81D76" w:rsidRPr="00CA696C">
        <w:rPr>
          <w:rFonts w:ascii="Arial" w:eastAsia="Times New Roman" w:hAnsi="Arial" w:cs="Arial"/>
          <w:b/>
          <w:color w:val="000000"/>
          <w:sz w:val="24"/>
          <w:szCs w:val="24"/>
          <w:u w:val="single"/>
        </w:rPr>
        <w:t xml:space="preserve">Hecho Generador: </w:t>
      </w:r>
      <w:r w:rsidR="00C81D76" w:rsidRPr="00CA696C">
        <w:rPr>
          <w:rFonts w:ascii="Arial" w:eastAsia="Times New Roman" w:hAnsi="Arial" w:cs="Arial"/>
          <w:color w:val="000000"/>
          <w:sz w:val="24"/>
          <w:szCs w:val="24"/>
        </w:rPr>
        <w:t xml:space="preserve">El Hecho generador del cobro de la estampilla </w:t>
      </w:r>
      <w:r w:rsidR="00C81D76" w:rsidRPr="00CA696C">
        <w:rPr>
          <w:rFonts w:ascii="Arial" w:eastAsia="Times New Roman" w:hAnsi="Arial" w:cs="Arial"/>
          <w:i/>
          <w:color w:val="000000"/>
          <w:sz w:val="24"/>
          <w:szCs w:val="24"/>
        </w:rPr>
        <w:t>Pro-Hospitales Públicos, Centros de Salud Públicos y Puestos de Salud Públicos del Casanare</w:t>
      </w:r>
      <w:r w:rsidR="00C81D76" w:rsidRPr="00CA696C">
        <w:rPr>
          <w:rFonts w:ascii="Arial" w:eastAsia="Times New Roman" w:hAnsi="Arial" w:cs="Arial"/>
          <w:b/>
          <w:i/>
          <w:color w:val="000000"/>
          <w:sz w:val="24"/>
          <w:szCs w:val="24"/>
          <w:u w:val="single"/>
        </w:rPr>
        <w:t xml:space="preserve"> </w:t>
      </w:r>
      <w:r w:rsidR="00C81D76" w:rsidRPr="00CA696C">
        <w:rPr>
          <w:rFonts w:ascii="Arial" w:eastAsia="Times New Roman" w:hAnsi="Arial" w:cs="Arial"/>
          <w:color w:val="000000"/>
          <w:sz w:val="24"/>
          <w:szCs w:val="24"/>
        </w:rPr>
        <w:t>será la suscripción de contratos y convenios que realice el Departamento del Casanare</w:t>
      </w:r>
    </w:p>
    <w:p w:rsidR="00C81D76" w:rsidRPr="00CA696C" w:rsidRDefault="00C81D76" w:rsidP="007C0CDF">
      <w:pPr>
        <w:spacing w:after="0" w:line="240" w:lineRule="auto"/>
        <w:jc w:val="both"/>
        <w:textAlignment w:val="center"/>
        <w:rPr>
          <w:rFonts w:ascii="Arial" w:eastAsia="Times New Roman" w:hAnsi="Arial" w:cs="Arial"/>
          <w:b/>
          <w:i/>
          <w:color w:val="000000"/>
          <w:sz w:val="24"/>
          <w:szCs w:val="24"/>
          <w:u w:val="single"/>
        </w:rPr>
      </w:pPr>
    </w:p>
    <w:p w:rsidR="007C0CDF" w:rsidRPr="00CA696C" w:rsidRDefault="006A1A40"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PARÁGRAFO</w:t>
      </w:r>
      <w:r w:rsidR="007C0CDF" w:rsidRPr="00CA696C">
        <w:rPr>
          <w:rFonts w:ascii="Arial" w:eastAsia="Times New Roman" w:hAnsi="Arial" w:cs="Arial"/>
          <w:color w:val="000000"/>
          <w:sz w:val="24"/>
          <w:szCs w:val="24"/>
        </w:rPr>
        <w:t xml:space="preserve"> Se excluyen de este pago los contratos de prestación de servicios su</w:t>
      </w:r>
      <w:r w:rsidR="00C81D76" w:rsidRPr="00CA696C">
        <w:rPr>
          <w:rFonts w:ascii="Arial" w:eastAsia="Times New Roman" w:hAnsi="Arial" w:cs="Arial"/>
          <w:color w:val="000000"/>
          <w:sz w:val="24"/>
          <w:szCs w:val="24"/>
        </w:rPr>
        <w:t>scritos con personas naturales y los contratos financiados con recursos de la salud.</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C81D76" w:rsidRPr="00CA696C" w:rsidRDefault="000B4744"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ARTÍCULO 4°</w:t>
      </w:r>
      <w:r w:rsidR="007C0CDF" w:rsidRPr="00CA696C">
        <w:rPr>
          <w:rFonts w:ascii="Arial" w:eastAsia="Times New Roman" w:hAnsi="Arial" w:cs="Arial"/>
          <w:b/>
          <w:color w:val="000000"/>
          <w:sz w:val="24"/>
          <w:szCs w:val="24"/>
          <w:u w:val="single"/>
        </w:rPr>
        <w:t xml:space="preserve">. </w:t>
      </w:r>
      <w:r w:rsidR="00C81D76" w:rsidRPr="00CA696C">
        <w:rPr>
          <w:rFonts w:ascii="Arial" w:eastAsia="Times New Roman" w:hAnsi="Arial" w:cs="Arial"/>
          <w:b/>
          <w:color w:val="000000"/>
          <w:sz w:val="24"/>
          <w:szCs w:val="24"/>
          <w:u w:val="single"/>
        </w:rPr>
        <w:t xml:space="preserve">Sujeto Activo y Pasivo: </w:t>
      </w:r>
      <w:r w:rsidR="00C81D76" w:rsidRPr="00CA696C">
        <w:rPr>
          <w:rFonts w:ascii="Arial" w:eastAsia="Times New Roman" w:hAnsi="Arial" w:cs="Arial"/>
          <w:color w:val="000000"/>
          <w:sz w:val="24"/>
          <w:szCs w:val="24"/>
        </w:rPr>
        <w:t>El Sujeto activo es el Departamento del Casanare previa autorización de la Asamblea Departamental.</w:t>
      </w:r>
    </w:p>
    <w:p w:rsidR="00C81D76" w:rsidRPr="00CA696C" w:rsidRDefault="00C81D76" w:rsidP="007C0CDF">
      <w:pPr>
        <w:spacing w:after="0" w:line="240" w:lineRule="auto"/>
        <w:jc w:val="both"/>
        <w:textAlignment w:val="center"/>
        <w:rPr>
          <w:rFonts w:ascii="Arial" w:eastAsia="Times New Roman" w:hAnsi="Arial" w:cs="Arial"/>
          <w:color w:val="000000"/>
          <w:sz w:val="24"/>
          <w:szCs w:val="24"/>
        </w:rPr>
      </w:pPr>
    </w:p>
    <w:p w:rsidR="00C81D76" w:rsidRPr="00CA696C" w:rsidRDefault="00C81D76"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color w:val="000000"/>
          <w:sz w:val="24"/>
          <w:szCs w:val="24"/>
        </w:rPr>
        <w:t>El sujeto pasivo es toda persona natural o jurídica que suscriba contratos con la administración departamental del Casanare</w:t>
      </w:r>
      <w:r w:rsidR="006A1A40" w:rsidRPr="00CA696C">
        <w:rPr>
          <w:rFonts w:ascii="Arial" w:eastAsia="Times New Roman" w:hAnsi="Arial" w:cs="Arial"/>
          <w:color w:val="000000"/>
          <w:sz w:val="24"/>
          <w:szCs w:val="24"/>
        </w:rPr>
        <w:t>, exceptuando lo establecido en el parágrafo del artículo anterior.</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color w:val="000000"/>
          <w:sz w:val="24"/>
          <w:szCs w:val="24"/>
        </w:rPr>
        <w:t xml:space="preserve">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b/>
          <w:color w:val="000000"/>
          <w:sz w:val="24"/>
          <w:szCs w:val="24"/>
          <w:u w:val="single"/>
        </w:rPr>
      </w:pPr>
      <w:r w:rsidRPr="00CA696C">
        <w:rPr>
          <w:rFonts w:ascii="Arial" w:eastAsia="Times New Roman" w:hAnsi="Arial" w:cs="Arial"/>
          <w:b/>
          <w:color w:val="000000"/>
          <w:sz w:val="24"/>
          <w:szCs w:val="24"/>
          <w:u w:val="single"/>
        </w:rPr>
        <w:t>ARTÍCUL</w:t>
      </w:r>
      <w:r w:rsidR="000B4744" w:rsidRPr="00CA696C">
        <w:rPr>
          <w:rFonts w:ascii="Arial" w:eastAsia="Times New Roman" w:hAnsi="Arial" w:cs="Arial"/>
          <w:b/>
          <w:color w:val="000000"/>
          <w:sz w:val="24"/>
          <w:szCs w:val="24"/>
          <w:u w:val="single"/>
        </w:rPr>
        <w:t>O 5</w:t>
      </w:r>
      <w:r w:rsidRPr="00CA696C">
        <w:rPr>
          <w:rFonts w:ascii="Arial" w:eastAsia="Times New Roman" w:hAnsi="Arial" w:cs="Arial"/>
          <w:b/>
          <w:color w:val="000000"/>
          <w:sz w:val="24"/>
          <w:szCs w:val="24"/>
          <w:u w:val="single"/>
        </w:rPr>
        <w:t>°.</w:t>
      </w:r>
      <w:r w:rsidR="006A1A40" w:rsidRPr="00CA696C">
        <w:rPr>
          <w:rFonts w:ascii="Arial" w:eastAsia="Times New Roman" w:hAnsi="Arial" w:cs="Arial"/>
          <w:b/>
          <w:color w:val="000000"/>
          <w:sz w:val="24"/>
          <w:szCs w:val="24"/>
          <w:u w:val="single"/>
        </w:rPr>
        <w:t>Tarifa.</w:t>
      </w:r>
      <w:r w:rsidR="00CA696C">
        <w:rPr>
          <w:rFonts w:ascii="Arial" w:eastAsia="Times New Roman" w:hAnsi="Arial" w:cs="Arial"/>
          <w:b/>
          <w:color w:val="000000"/>
          <w:sz w:val="24"/>
          <w:szCs w:val="24"/>
          <w:u w:val="single"/>
        </w:rPr>
        <w:t xml:space="preserve"> </w:t>
      </w:r>
      <w:r w:rsidRPr="00CA696C">
        <w:rPr>
          <w:rFonts w:ascii="Arial" w:eastAsia="Times New Roman" w:hAnsi="Arial" w:cs="Arial"/>
          <w:b/>
          <w:color w:val="000000"/>
          <w:sz w:val="24"/>
          <w:szCs w:val="24"/>
          <w:u w:val="single"/>
        </w:rPr>
        <w:t>Recaudos.</w:t>
      </w:r>
      <w:r w:rsidRPr="00CA696C">
        <w:rPr>
          <w:rFonts w:ascii="Arial" w:eastAsia="Times New Roman" w:hAnsi="Arial" w:cs="Arial"/>
          <w:color w:val="000000"/>
          <w:sz w:val="24"/>
          <w:szCs w:val="24"/>
        </w:rPr>
        <w:t xml:space="preserve"> Los recaudos provenientes de la estampilla estarán a cargo de la Secretaría de Hacienda Departamental y, en el caso de los municipios corresponderá su recaudo a las tesorerías municipales.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Default="007C0CDF"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color w:val="000000"/>
          <w:sz w:val="24"/>
          <w:szCs w:val="24"/>
        </w:rPr>
        <w:t xml:space="preserve">Las tesorerías municipales le harán trimestralmente las transferencias del recurso a la Secretaría de Hacienda Departamental, para que ésta distribuya los recursos conforme a las disposiciones y destinaciones específicas contempladas en la presente ley, y en los términos de la ordenanza emitida por la Asamblea del Departamento del </w:t>
      </w:r>
      <w:r w:rsidR="000B4744" w:rsidRPr="00CA696C">
        <w:rPr>
          <w:rFonts w:ascii="Arial" w:eastAsia="Times New Roman" w:hAnsi="Arial" w:cs="Arial"/>
          <w:color w:val="000000"/>
          <w:sz w:val="24"/>
          <w:szCs w:val="24"/>
        </w:rPr>
        <w:t>Casanare</w:t>
      </w:r>
      <w:r w:rsidRPr="00CA696C">
        <w:rPr>
          <w:rFonts w:ascii="Arial" w:eastAsia="Times New Roman" w:hAnsi="Arial" w:cs="Arial"/>
          <w:color w:val="000000"/>
          <w:sz w:val="24"/>
          <w:szCs w:val="24"/>
        </w:rPr>
        <w:t xml:space="preserve">. </w:t>
      </w:r>
    </w:p>
    <w:p w:rsidR="00CA696C" w:rsidRDefault="00CA696C" w:rsidP="007C0CDF">
      <w:pPr>
        <w:spacing w:after="0" w:line="240" w:lineRule="auto"/>
        <w:jc w:val="both"/>
        <w:textAlignment w:val="center"/>
        <w:rPr>
          <w:rFonts w:ascii="Arial" w:eastAsia="Times New Roman" w:hAnsi="Arial" w:cs="Arial"/>
          <w:color w:val="000000"/>
          <w:sz w:val="24"/>
          <w:szCs w:val="24"/>
        </w:rPr>
      </w:pPr>
    </w:p>
    <w:p w:rsidR="00CA696C" w:rsidRPr="00CA696C" w:rsidRDefault="00CA696C" w:rsidP="007C0CDF">
      <w:pPr>
        <w:spacing w:after="0" w:line="240" w:lineRule="auto"/>
        <w:jc w:val="both"/>
        <w:textAlignment w:val="center"/>
        <w:rPr>
          <w:rFonts w:ascii="Arial" w:eastAsia="Times New Roman" w:hAnsi="Arial" w:cs="Arial"/>
          <w:color w:val="000000"/>
          <w:sz w:val="24"/>
          <w:szCs w:val="24"/>
        </w:rPr>
      </w:pPr>
    </w:p>
    <w:p w:rsidR="007C0CDF" w:rsidRPr="00CA696C" w:rsidRDefault="007C0CDF" w:rsidP="007C0CDF">
      <w:pPr>
        <w:spacing w:after="0" w:line="240" w:lineRule="auto"/>
        <w:jc w:val="both"/>
        <w:textAlignment w:val="center"/>
        <w:rPr>
          <w:rFonts w:ascii="Arial" w:eastAsia="Times New Roman" w:hAnsi="Arial" w:cs="Arial"/>
          <w:b/>
          <w:color w:val="000000"/>
          <w:sz w:val="24"/>
          <w:szCs w:val="24"/>
          <w:u w:val="single"/>
        </w:rPr>
      </w:pPr>
    </w:p>
    <w:p w:rsidR="007C0CDF" w:rsidRPr="00CA696C" w:rsidRDefault="000B4744"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lastRenderedPageBreak/>
        <w:t>ARTÍCULO 6°. Control.</w:t>
      </w:r>
      <w:r w:rsidR="007C0CDF" w:rsidRPr="00CA696C">
        <w:rPr>
          <w:rFonts w:ascii="Arial" w:eastAsia="Times New Roman" w:hAnsi="Arial" w:cs="Arial"/>
          <w:color w:val="000000"/>
          <w:sz w:val="24"/>
          <w:szCs w:val="24"/>
        </w:rPr>
        <w:t xml:space="preserve"> </w:t>
      </w:r>
      <w:r w:rsidR="00DB3693" w:rsidRPr="00CA696C">
        <w:rPr>
          <w:rFonts w:ascii="Arial" w:hAnsi="Arial" w:cs="Arial"/>
          <w:sz w:val="24"/>
          <w:szCs w:val="24"/>
        </w:rPr>
        <w:t xml:space="preserve">El control </w:t>
      </w:r>
      <w:r w:rsidR="007C0CDF" w:rsidRPr="00CA696C">
        <w:rPr>
          <w:rFonts w:ascii="Arial" w:eastAsia="Times New Roman" w:hAnsi="Arial" w:cs="Arial"/>
          <w:color w:val="000000"/>
          <w:sz w:val="24"/>
          <w:szCs w:val="24"/>
        </w:rPr>
        <w:t xml:space="preserve">del recaudo, del traslado oportuno y de la inversión de los recursos provenientes del cumplimiento de la presente ley, estará a cargo de la Contraloría Departamental del </w:t>
      </w:r>
      <w:r w:rsidRPr="00CA696C">
        <w:rPr>
          <w:rFonts w:ascii="Arial" w:eastAsia="Times New Roman" w:hAnsi="Arial" w:cs="Arial"/>
          <w:color w:val="000000"/>
          <w:sz w:val="24"/>
          <w:szCs w:val="24"/>
        </w:rPr>
        <w:t>Casanare</w:t>
      </w:r>
      <w:r w:rsidR="007C0CDF" w:rsidRPr="00CA696C">
        <w:rPr>
          <w:rFonts w:ascii="Arial" w:eastAsia="Times New Roman" w:hAnsi="Arial" w:cs="Arial"/>
          <w:color w:val="000000"/>
          <w:sz w:val="24"/>
          <w:szCs w:val="24"/>
        </w:rPr>
        <w:t xml:space="preserve"> y de las contralorías municipales donde existan. </w:t>
      </w:r>
    </w:p>
    <w:p w:rsidR="007C0CDF" w:rsidRPr="00CA696C" w:rsidRDefault="007C0CDF" w:rsidP="007C0CDF">
      <w:pPr>
        <w:spacing w:after="0" w:line="240" w:lineRule="auto"/>
        <w:jc w:val="both"/>
        <w:textAlignment w:val="center"/>
        <w:rPr>
          <w:rFonts w:ascii="Arial" w:eastAsia="Times New Roman" w:hAnsi="Arial" w:cs="Arial"/>
          <w:color w:val="000000"/>
          <w:sz w:val="24"/>
          <w:szCs w:val="24"/>
        </w:rPr>
      </w:pPr>
    </w:p>
    <w:p w:rsidR="007C0CDF" w:rsidRPr="00CA696C" w:rsidRDefault="00DB3693" w:rsidP="007C0CDF">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b/>
          <w:color w:val="000000"/>
          <w:sz w:val="24"/>
          <w:szCs w:val="24"/>
          <w:u w:val="single"/>
        </w:rPr>
        <w:t>ARTÍCULO 7</w:t>
      </w:r>
      <w:r w:rsidR="007C0CDF" w:rsidRPr="00CA696C">
        <w:rPr>
          <w:rFonts w:ascii="Arial" w:eastAsia="Times New Roman" w:hAnsi="Arial" w:cs="Arial"/>
          <w:b/>
          <w:color w:val="000000"/>
          <w:sz w:val="24"/>
          <w:szCs w:val="24"/>
          <w:u w:val="single"/>
        </w:rPr>
        <w:t>°. Vigencia.</w:t>
      </w:r>
      <w:r w:rsidR="007C0CDF" w:rsidRPr="00CA696C">
        <w:rPr>
          <w:rFonts w:ascii="Arial" w:eastAsia="Times New Roman" w:hAnsi="Arial" w:cs="Arial"/>
          <w:color w:val="000000"/>
          <w:sz w:val="24"/>
          <w:szCs w:val="24"/>
        </w:rPr>
        <w:t xml:space="preserve"> La presente ley rige a partir de la fecha de su promulgación. </w:t>
      </w:r>
    </w:p>
    <w:p w:rsidR="007C0CDF" w:rsidRPr="00CA696C" w:rsidRDefault="007C0CDF" w:rsidP="007C0CDF">
      <w:pPr>
        <w:spacing w:after="0" w:line="240" w:lineRule="auto"/>
        <w:jc w:val="both"/>
        <w:textAlignment w:val="center"/>
        <w:rPr>
          <w:rFonts w:ascii="Arial" w:eastAsia="Times New Roman" w:hAnsi="Arial" w:cs="Arial"/>
          <w:b/>
          <w:color w:val="000000"/>
          <w:sz w:val="24"/>
          <w:szCs w:val="24"/>
          <w:u w:val="single"/>
        </w:rPr>
      </w:pPr>
    </w:p>
    <w:p w:rsidR="00086A7A" w:rsidRPr="00CA696C" w:rsidRDefault="00086A7A" w:rsidP="00086A7A">
      <w:pPr>
        <w:spacing w:after="0" w:line="240" w:lineRule="auto"/>
        <w:rPr>
          <w:rFonts w:ascii="Arial" w:eastAsia="Times New Roman" w:hAnsi="Arial" w:cs="Arial"/>
          <w:sz w:val="24"/>
          <w:szCs w:val="24"/>
          <w:lang w:val="es-CO"/>
        </w:rPr>
      </w:pPr>
    </w:p>
    <w:p w:rsidR="00086A7A" w:rsidRPr="00CA696C" w:rsidRDefault="00086A7A" w:rsidP="00086A7A">
      <w:pPr>
        <w:spacing w:after="0" w:line="240" w:lineRule="auto"/>
        <w:jc w:val="both"/>
        <w:rPr>
          <w:rFonts w:ascii="Arial" w:eastAsia="Times New Roman" w:hAnsi="Arial" w:cs="Arial"/>
          <w:sz w:val="24"/>
          <w:szCs w:val="24"/>
          <w:lang w:val="es-CO"/>
        </w:rPr>
      </w:pPr>
      <w:r w:rsidRPr="00CA696C">
        <w:rPr>
          <w:rFonts w:ascii="Arial" w:eastAsia="Times New Roman" w:hAnsi="Arial" w:cs="Arial"/>
          <w:color w:val="000000"/>
          <w:sz w:val="24"/>
          <w:szCs w:val="24"/>
          <w:lang w:val="es-CO"/>
        </w:rPr>
        <w:t> </w:t>
      </w:r>
    </w:p>
    <w:p w:rsidR="00CA696C" w:rsidRDefault="00CA696C" w:rsidP="00086A7A">
      <w:pPr>
        <w:spacing w:after="0" w:line="240" w:lineRule="auto"/>
        <w:rPr>
          <w:rFonts w:ascii="Arial" w:hAnsi="Arial" w:cs="Arial"/>
          <w:noProof/>
          <w:sz w:val="24"/>
          <w:szCs w:val="24"/>
          <w:bdr w:val="none" w:sz="0" w:space="0" w:color="auto" w:frame="1"/>
          <w:lang w:val="es-CO"/>
        </w:rPr>
      </w:pPr>
    </w:p>
    <w:p w:rsidR="00304B61" w:rsidRPr="00CA696C" w:rsidRDefault="00086A7A" w:rsidP="00086A7A">
      <w:pPr>
        <w:spacing w:after="0" w:line="240" w:lineRule="auto"/>
        <w:rPr>
          <w:rFonts w:ascii="Arial" w:eastAsia="Times New Roman" w:hAnsi="Arial" w:cs="Arial"/>
          <w:sz w:val="24"/>
          <w:szCs w:val="24"/>
          <w:lang w:val="es-CO"/>
        </w:rPr>
      </w:pPr>
      <w:r w:rsidRPr="00CA696C">
        <w:rPr>
          <w:rFonts w:ascii="Arial" w:eastAsia="Times New Roman" w:hAnsi="Arial" w:cs="Arial"/>
          <w:sz w:val="24"/>
          <w:szCs w:val="24"/>
          <w:lang w:val="es-CO"/>
        </w:rPr>
        <w:br/>
      </w:r>
    </w:p>
    <w:p w:rsidR="00086A7A" w:rsidRPr="00CA696C" w:rsidRDefault="00086A7A" w:rsidP="00086A7A">
      <w:pPr>
        <w:spacing w:after="0" w:line="240" w:lineRule="auto"/>
        <w:rPr>
          <w:rFonts w:ascii="Arial" w:eastAsia="Times New Roman" w:hAnsi="Arial" w:cs="Arial"/>
          <w:sz w:val="24"/>
          <w:szCs w:val="24"/>
          <w:lang w:val="es-CO"/>
        </w:rPr>
      </w:pPr>
      <w:r w:rsidRPr="00CA696C">
        <w:rPr>
          <w:rFonts w:ascii="Arial" w:eastAsia="Times New Roman" w:hAnsi="Arial" w:cs="Arial"/>
          <w:b/>
          <w:bCs/>
          <w:color w:val="000000"/>
          <w:sz w:val="24"/>
          <w:szCs w:val="24"/>
          <w:lang w:val="es-CO"/>
        </w:rPr>
        <w:t>JAIRO CRISTANCHO </w:t>
      </w:r>
    </w:p>
    <w:p w:rsidR="00086A7A" w:rsidRPr="00CA696C" w:rsidRDefault="00086A7A" w:rsidP="00086A7A">
      <w:pPr>
        <w:spacing w:after="0" w:line="240" w:lineRule="auto"/>
        <w:rPr>
          <w:rFonts w:ascii="Arial" w:eastAsia="Times New Roman" w:hAnsi="Arial" w:cs="Arial"/>
          <w:sz w:val="24"/>
          <w:szCs w:val="24"/>
          <w:lang w:val="es-CO"/>
        </w:rPr>
      </w:pPr>
      <w:r w:rsidRPr="00CA696C">
        <w:rPr>
          <w:rFonts w:ascii="Arial" w:eastAsia="Times New Roman" w:hAnsi="Arial" w:cs="Arial"/>
          <w:b/>
          <w:bCs/>
          <w:color w:val="000000"/>
          <w:sz w:val="24"/>
          <w:szCs w:val="24"/>
          <w:lang w:val="es-CO"/>
        </w:rPr>
        <w:t>Representante a la Cámara</w:t>
      </w:r>
    </w:p>
    <w:p w:rsidR="00BB3C06" w:rsidRPr="00CA696C" w:rsidRDefault="006F29CD" w:rsidP="00086A7A">
      <w:pPr>
        <w:rPr>
          <w:rFonts w:ascii="Arial" w:hAnsi="Arial" w:cs="Arial"/>
          <w:sz w:val="24"/>
          <w:szCs w:val="24"/>
        </w:rPr>
      </w:pPr>
      <w:r w:rsidRPr="00CA696C">
        <w:rPr>
          <w:rFonts w:ascii="Arial" w:hAnsi="Arial" w:cs="Arial"/>
          <w:sz w:val="24"/>
          <w:szCs w:val="24"/>
        </w:rPr>
        <w:t xml:space="preserve"> </w:t>
      </w:r>
    </w:p>
    <w:p w:rsidR="00DB3693" w:rsidRPr="00CA696C" w:rsidRDefault="00DB3693" w:rsidP="00086A7A">
      <w:pPr>
        <w:rPr>
          <w:rFonts w:ascii="Arial" w:hAnsi="Arial" w:cs="Arial"/>
          <w:sz w:val="24"/>
          <w:szCs w:val="24"/>
        </w:rPr>
      </w:pPr>
    </w:p>
    <w:p w:rsidR="00304B61" w:rsidRPr="00CA696C" w:rsidRDefault="00304B61" w:rsidP="00086A7A">
      <w:pPr>
        <w:rPr>
          <w:rFonts w:ascii="Arial" w:hAnsi="Arial" w:cs="Arial"/>
          <w:sz w:val="24"/>
          <w:szCs w:val="24"/>
        </w:rPr>
      </w:pPr>
    </w:p>
    <w:p w:rsidR="00304B61" w:rsidRPr="00CA696C" w:rsidRDefault="00304B61" w:rsidP="00086A7A">
      <w:pPr>
        <w:rPr>
          <w:rFonts w:ascii="Arial" w:hAnsi="Arial" w:cs="Arial"/>
          <w:sz w:val="24"/>
          <w:szCs w:val="24"/>
        </w:rPr>
      </w:pPr>
    </w:p>
    <w:p w:rsidR="00657898" w:rsidRPr="00CA696C" w:rsidRDefault="00657898"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58328E" w:rsidRDefault="0058328E" w:rsidP="00086A7A">
      <w:pPr>
        <w:rPr>
          <w:rFonts w:ascii="Arial" w:hAnsi="Arial" w:cs="Arial"/>
          <w:sz w:val="24"/>
          <w:szCs w:val="24"/>
        </w:rPr>
      </w:pPr>
    </w:p>
    <w:p w:rsidR="00CA696C" w:rsidRPr="00CA696C" w:rsidRDefault="00CA696C" w:rsidP="00086A7A">
      <w:pPr>
        <w:rPr>
          <w:rFonts w:ascii="Arial" w:hAnsi="Arial" w:cs="Arial"/>
          <w:sz w:val="24"/>
          <w:szCs w:val="24"/>
        </w:rPr>
      </w:pPr>
      <w:bookmarkStart w:id="0" w:name="_GoBack"/>
      <w:bookmarkEnd w:id="0"/>
    </w:p>
    <w:p w:rsidR="0058328E" w:rsidRPr="00CA696C" w:rsidRDefault="0058328E" w:rsidP="00086A7A">
      <w:pPr>
        <w:rPr>
          <w:rFonts w:ascii="Arial" w:hAnsi="Arial" w:cs="Arial"/>
          <w:sz w:val="24"/>
          <w:szCs w:val="24"/>
        </w:rPr>
      </w:pPr>
    </w:p>
    <w:p w:rsidR="0058328E" w:rsidRPr="00CA696C" w:rsidRDefault="0058328E" w:rsidP="00086A7A">
      <w:pPr>
        <w:rPr>
          <w:rFonts w:ascii="Arial" w:hAnsi="Arial" w:cs="Arial"/>
          <w:sz w:val="24"/>
          <w:szCs w:val="24"/>
        </w:rPr>
      </w:pPr>
    </w:p>
    <w:p w:rsidR="00DB3693" w:rsidRPr="00CA696C" w:rsidRDefault="00DB3693" w:rsidP="00657898">
      <w:pPr>
        <w:jc w:val="center"/>
        <w:rPr>
          <w:rFonts w:ascii="Arial" w:hAnsi="Arial" w:cs="Arial"/>
          <w:b/>
          <w:sz w:val="24"/>
          <w:szCs w:val="24"/>
        </w:rPr>
      </w:pPr>
      <w:r w:rsidRPr="00CA696C">
        <w:rPr>
          <w:rFonts w:ascii="Arial" w:hAnsi="Arial" w:cs="Arial"/>
          <w:b/>
          <w:sz w:val="24"/>
          <w:szCs w:val="24"/>
        </w:rPr>
        <w:lastRenderedPageBreak/>
        <w:t>EXPOSICION DE MOTIVOS</w:t>
      </w:r>
    </w:p>
    <w:p w:rsidR="006B5949" w:rsidRPr="00CA696C" w:rsidRDefault="006B5949" w:rsidP="0077592B">
      <w:pPr>
        <w:jc w:val="both"/>
        <w:rPr>
          <w:rFonts w:ascii="Arial" w:hAnsi="Arial" w:cs="Arial"/>
          <w:sz w:val="24"/>
          <w:szCs w:val="24"/>
        </w:rPr>
      </w:pPr>
      <w:r w:rsidRPr="00CA696C">
        <w:rPr>
          <w:rFonts w:ascii="Arial" w:hAnsi="Arial" w:cs="Arial"/>
          <w:sz w:val="24"/>
          <w:szCs w:val="24"/>
        </w:rPr>
        <w:t xml:space="preserve">Con la reforma constitucional de 1991, se logra redefinir el papel del Estado en la prestación del servicio al igual que el concepto de salud, pues este se entiende como la prestación del servicio integral que implica la promoción y prevención y </w:t>
      </w:r>
      <w:r w:rsidR="00C44D8E" w:rsidRPr="00CA696C">
        <w:rPr>
          <w:rFonts w:ascii="Arial" w:hAnsi="Arial" w:cs="Arial"/>
          <w:sz w:val="24"/>
          <w:szCs w:val="24"/>
        </w:rPr>
        <w:t xml:space="preserve">deja el carácter asistencial, </w:t>
      </w:r>
      <w:r w:rsidRPr="00CA696C">
        <w:rPr>
          <w:rFonts w:ascii="Arial" w:hAnsi="Arial" w:cs="Arial"/>
          <w:sz w:val="24"/>
          <w:szCs w:val="24"/>
        </w:rPr>
        <w:t>el</w:t>
      </w:r>
      <w:r w:rsidR="00C44D8E" w:rsidRPr="00CA696C">
        <w:rPr>
          <w:rFonts w:ascii="Arial" w:hAnsi="Arial" w:cs="Arial"/>
          <w:sz w:val="24"/>
          <w:szCs w:val="24"/>
        </w:rPr>
        <w:t xml:space="preserve"> artículo</w:t>
      </w:r>
      <w:r w:rsidRPr="00CA696C">
        <w:rPr>
          <w:rFonts w:ascii="Arial" w:hAnsi="Arial" w:cs="Arial"/>
          <w:sz w:val="24"/>
          <w:szCs w:val="24"/>
        </w:rPr>
        <w:t xml:space="preserve"> 49 se reconoce la importancia del derecho a la salud y se establece como un servicio a cargo del Estado.</w:t>
      </w:r>
    </w:p>
    <w:p w:rsidR="006B5949" w:rsidRPr="00CA696C" w:rsidRDefault="006B5949" w:rsidP="006B5949">
      <w:pPr>
        <w:pStyle w:val="Sinespaciado"/>
        <w:jc w:val="both"/>
        <w:rPr>
          <w:rFonts w:ascii="Arial" w:hAnsi="Arial" w:cs="Arial"/>
          <w:i/>
          <w:sz w:val="24"/>
          <w:szCs w:val="24"/>
        </w:rPr>
      </w:pPr>
      <w:bookmarkStart w:id="1" w:name="49"/>
      <w:r w:rsidRPr="00CA696C">
        <w:rPr>
          <w:rFonts w:ascii="Arial" w:hAnsi="Arial" w:cs="Arial"/>
          <w:b/>
          <w:bCs/>
          <w:i/>
          <w:color w:val="000000" w:themeColor="text1"/>
          <w:sz w:val="24"/>
          <w:szCs w:val="24"/>
        </w:rPr>
        <w:t>ARTICULO 49. </w:t>
      </w:r>
      <w:bookmarkEnd w:id="1"/>
      <w:r w:rsidRPr="00CA696C">
        <w:rPr>
          <w:rFonts w:ascii="Arial" w:hAnsi="Arial" w:cs="Arial"/>
          <w:i/>
          <w:color w:val="000000" w:themeColor="text1"/>
          <w:sz w:val="24"/>
          <w:szCs w:val="24"/>
        </w:rPr>
        <w:t xml:space="preserve">La atención </w:t>
      </w:r>
      <w:r w:rsidRPr="00CA696C">
        <w:rPr>
          <w:rFonts w:ascii="Arial" w:hAnsi="Arial" w:cs="Arial"/>
          <w:i/>
          <w:sz w:val="24"/>
          <w:szCs w:val="24"/>
        </w:rPr>
        <w:t>de la salud y el saneamiento ambiental son servicios públicos a cargo del Estado. Se garantiza a todas las personas el acceso a los servicios de promoción, protección y recuperación de la salud.</w:t>
      </w:r>
    </w:p>
    <w:p w:rsidR="0077592B" w:rsidRPr="00CA696C" w:rsidRDefault="0077592B" w:rsidP="006B5949">
      <w:pPr>
        <w:pStyle w:val="Sinespaciado"/>
        <w:jc w:val="both"/>
        <w:rPr>
          <w:rFonts w:ascii="Arial" w:hAnsi="Arial" w:cs="Arial"/>
          <w:i/>
          <w:sz w:val="24"/>
          <w:szCs w:val="24"/>
        </w:rPr>
      </w:pP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Los servicios de salud se organizarán en forma descentralizada, por niveles de atención y con participación de la comunidad.</w:t>
      </w:r>
    </w:p>
    <w:p w:rsidR="0077592B" w:rsidRPr="00CA696C" w:rsidRDefault="0077592B" w:rsidP="006B5949">
      <w:pPr>
        <w:pStyle w:val="Sinespaciado"/>
        <w:jc w:val="both"/>
        <w:rPr>
          <w:rFonts w:ascii="Arial" w:hAnsi="Arial" w:cs="Arial"/>
          <w:i/>
          <w:sz w:val="24"/>
          <w:szCs w:val="24"/>
        </w:rPr>
      </w:pP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La ley señalará los términos en los cuales la atención básica para todos los habitantes será gratuita y obligatoria.</w:t>
      </w:r>
    </w:p>
    <w:p w:rsidR="0077592B" w:rsidRPr="00CA696C" w:rsidRDefault="0077592B" w:rsidP="006B5949">
      <w:pPr>
        <w:pStyle w:val="Sinespaciado"/>
        <w:jc w:val="both"/>
        <w:rPr>
          <w:rFonts w:ascii="Arial" w:hAnsi="Arial" w:cs="Arial"/>
          <w:i/>
          <w:sz w:val="24"/>
          <w:szCs w:val="24"/>
        </w:rPr>
      </w:pP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Toda persona tiene el deber de procurar el cuidado integral de su salud y de su comunidad.</w:t>
      </w: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 xml:space="preserve">El porte y el consumo de sustancias estupefacientes o sicotrópicas </w:t>
      </w:r>
      <w:r w:rsidR="0058328E" w:rsidRPr="00CA696C">
        <w:rPr>
          <w:rFonts w:ascii="Arial" w:hAnsi="Arial" w:cs="Arial"/>
          <w:i/>
          <w:sz w:val="24"/>
          <w:szCs w:val="24"/>
        </w:rPr>
        <w:t>están</w:t>
      </w:r>
      <w:r w:rsidRPr="00CA696C">
        <w:rPr>
          <w:rFonts w:ascii="Arial" w:hAnsi="Arial" w:cs="Arial"/>
          <w:i/>
          <w:sz w:val="24"/>
          <w:szCs w:val="24"/>
        </w:rPr>
        <w:t xml:space="preserve"> prohibido, salvo prescripción médica.</w:t>
      </w:r>
      <w:r w:rsidRPr="00CA696C">
        <w:rPr>
          <w:rFonts w:ascii="Arial" w:hAnsi="Arial" w:cs="Arial"/>
          <w:i/>
          <w:sz w:val="24"/>
          <w:szCs w:val="24"/>
          <w:u w:val="single"/>
        </w:rPr>
        <w:t xml:space="preserve"> </w:t>
      </w:r>
      <w:r w:rsidRPr="00CA696C">
        <w:rPr>
          <w:rFonts w:ascii="Arial" w:hAnsi="Arial" w:cs="Arial"/>
          <w:i/>
          <w:sz w:val="24"/>
          <w:szCs w:val="24"/>
        </w:rPr>
        <w:t>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77592B" w:rsidRPr="00CA696C" w:rsidRDefault="0077592B" w:rsidP="006B5949">
      <w:pPr>
        <w:pStyle w:val="Sinespaciado"/>
        <w:jc w:val="both"/>
        <w:rPr>
          <w:rFonts w:ascii="Arial" w:hAnsi="Arial" w:cs="Arial"/>
          <w:i/>
          <w:sz w:val="24"/>
          <w:szCs w:val="24"/>
        </w:rPr>
      </w:pPr>
    </w:p>
    <w:p w:rsidR="006B5949" w:rsidRPr="00CA696C" w:rsidRDefault="006B5949" w:rsidP="006B5949">
      <w:pPr>
        <w:pStyle w:val="Sinespaciado"/>
        <w:jc w:val="both"/>
        <w:rPr>
          <w:rFonts w:ascii="Arial" w:hAnsi="Arial" w:cs="Arial"/>
          <w:i/>
          <w:sz w:val="24"/>
          <w:szCs w:val="24"/>
        </w:rPr>
      </w:pPr>
      <w:r w:rsidRPr="00CA696C">
        <w:rPr>
          <w:rFonts w:ascii="Arial" w:hAnsi="Arial" w:cs="Arial"/>
          <w:i/>
          <w:sz w:val="24"/>
          <w:szCs w:val="24"/>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6B5949" w:rsidRPr="00CA696C" w:rsidRDefault="006B5949" w:rsidP="006B5949">
      <w:pPr>
        <w:pStyle w:val="Sinespaciado"/>
        <w:jc w:val="both"/>
        <w:rPr>
          <w:rFonts w:ascii="Arial" w:hAnsi="Arial" w:cs="Arial"/>
          <w:i/>
          <w:sz w:val="24"/>
          <w:szCs w:val="24"/>
        </w:rPr>
      </w:pPr>
    </w:p>
    <w:p w:rsidR="0077592B" w:rsidRPr="00CA696C" w:rsidRDefault="006B5949" w:rsidP="00086A7A">
      <w:pPr>
        <w:rPr>
          <w:rFonts w:ascii="Arial" w:hAnsi="Arial" w:cs="Arial"/>
          <w:sz w:val="24"/>
          <w:szCs w:val="24"/>
        </w:rPr>
      </w:pPr>
      <w:r w:rsidRPr="00CA696C">
        <w:rPr>
          <w:rFonts w:ascii="Arial" w:hAnsi="Arial" w:cs="Arial"/>
          <w:sz w:val="24"/>
          <w:szCs w:val="24"/>
        </w:rPr>
        <w:t xml:space="preserve">Por otra parte </w:t>
      </w:r>
      <w:r w:rsidR="006A5475" w:rsidRPr="00CA696C">
        <w:rPr>
          <w:rFonts w:ascii="Arial" w:hAnsi="Arial" w:cs="Arial"/>
          <w:sz w:val="24"/>
          <w:szCs w:val="24"/>
        </w:rPr>
        <w:t xml:space="preserve">el artículo 366 declara que el bienestar general y el mejoramiento de la calidad de vida de la población son finalidades sociales del Estado. </w:t>
      </w:r>
    </w:p>
    <w:p w:rsidR="006B5949" w:rsidRPr="00CA696C" w:rsidRDefault="006A5475" w:rsidP="00086A7A">
      <w:pPr>
        <w:rPr>
          <w:rFonts w:ascii="Arial" w:hAnsi="Arial" w:cs="Arial"/>
          <w:i/>
          <w:sz w:val="24"/>
          <w:szCs w:val="24"/>
        </w:rPr>
      </w:pPr>
      <w:r w:rsidRPr="00CA696C">
        <w:rPr>
          <w:rFonts w:ascii="Arial" w:hAnsi="Arial" w:cs="Arial"/>
          <w:i/>
          <w:sz w:val="24"/>
          <w:szCs w:val="24"/>
        </w:rPr>
        <w:lastRenderedPageBreak/>
        <w:t>Será objetivo fundamental de su actividad la solución de las necesidades insatisfechas de salud (…)</w:t>
      </w:r>
    </w:p>
    <w:p w:rsidR="006B5949" w:rsidRPr="00CA696C" w:rsidRDefault="006B5949" w:rsidP="006B5949">
      <w:pPr>
        <w:rPr>
          <w:rFonts w:ascii="Arial" w:hAnsi="Arial" w:cs="Arial"/>
          <w:sz w:val="24"/>
          <w:szCs w:val="24"/>
        </w:rPr>
      </w:pPr>
      <w:r w:rsidRPr="00CA696C">
        <w:rPr>
          <w:rFonts w:ascii="Arial" w:hAnsi="Arial" w:cs="Arial"/>
          <w:sz w:val="24"/>
          <w:szCs w:val="24"/>
        </w:rPr>
        <w:t>A partir de est</w:t>
      </w:r>
      <w:r w:rsidR="0077592B" w:rsidRPr="00CA696C">
        <w:rPr>
          <w:rFonts w:ascii="Arial" w:hAnsi="Arial" w:cs="Arial"/>
          <w:sz w:val="24"/>
          <w:szCs w:val="24"/>
        </w:rPr>
        <w:t>os</w:t>
      </w:r>
      <w:r w:rsidRPr="00CA696C">
        <w:rPr>
          <w:rFonts w:ascii="Arial" w:hAnsi="Arial" w:cs="Arial"/>
          <w:sz w:val="24"/>
          <w:szCs w:val="24"/>
        </w:rPr>
        <w:t xml:space="preserve"> precepto</w:t>
      </w:r>
      <w:r w:rsidR="0077592B" w:rsidRPr="00CA696C">
        <w:rPr>
          <w:rFonts w:ascii="Arial" w:hAnsi="Arial" w:cs="Arial"/>
          <w:sz w:val="24"/>
          <w:szCs w:val="24"/>
        </w:rPr>
        <w:t>s</w:t>
      </w:r>
      <w:r w:rsidRPr="00CA696C">
        <w:rPr>
          <w:rFonts w:ascii="Arial" w:hAnsi="Arial" w:cs="Arial"/>
          <w:sz w:val="24"/>
          <w:szCs w:val="24"/>
        </w:rPr>
        <w:t xml:space="preserve"> constitucional</w:t>
      </w:r>
      <w:r w:rsidR="0077592B" w:rsidRPr="00CA696C">
        <w:rPr>
          <w:rFonts w:ascii="Arial" w:hAnsi="Arial" w:cs="Arial"/>
          <w:sz w:val="24"/>
          <w:szCs w:val="24"/>
        </w:rPr>
        <w:t>es</w:t>
      </w:r>
      <w:r w:rsidRPr="00CA696C">
        <w:rPr>
          <w:rFonts w:ascii="Arial" w:hAnsi="Arial" w:cs="Arial"/>
          <w:sz w:val="24"/>
          <w:szCs w:val="24"/>
        </w:rPr>
        <w:t xml:space="preserve"> se puede afirmar</w:t>
      </w:r>
      <w:r w:rsidR="00FC3947" w:rsidRPr="00CA696C">
        <w:rPr>
          <w:rFonts w:ascii="Arial" w:hAnsi="Arial" w:cs="Arial"/>
          <w:sz w:val="24"/>
          <w:szCs w:val="24"/>
        </w:rPr>
        <w:t xml:space="preserve"> que:</w:t>
      </w:r>
    </w:p>
    <w:p w:rsidR="006B5949" w:rsidRPr="00CA696C" w:rsidRDefault="006B5949" w:rsidP="006B5949">
      <w:pPr>
        <w:pStyle w:val="Prrafodelista"/>
        <w:numPr>
          <w:ilvl w:val="0"/>
          <w:numId w:val="2"/>
        </w:numPr>
        <w:spacing w:after="160" w:line="259" w:lineRule="auto"/>
        <w:jc w:val="both"/>
        <w:rPr>
          <w:rFonts w:ascii="Arial" w:hAnsi="Arial" w:cs="Arial"/>
          <w:sz w:val="24"/>
          <w:szCs w:val="24"/>
        </w:rPr>
      </w:pPr>
      <w:r w:rsidRPr="00CA696C">
        <w:rPr>
          <w:rFonts w:ascii="Arial" w:hAnsi="Arial" w:cs="Arial"/>
          <w:sz w:val="24"/>
          <w:szCs w:val="24"/>
        </w:rPr>
        <w:t xml:space="preserve">La salud y el saneamiento ambiental son servicios públicos que están </w:t>
      </w:r>
      <w:r w:rsidR="0058328E" w:rsidRPr="00CA696C">
        <w:rPr>
          <w:rFonts w:ascii="Arial" w:hAnsi="Arial" w:cs="Arial"/>
          <w:sz w:val="24"/>
          <w:szCs w:val="24"/>
        </w:rPr>
        <w:t>a cargo</w:t>
      </w:r>
      <w:r w:rsidRPr="00CA696C">
        <w:rPr>
          <w:rFonts w:ascii="Arial" w:hAnsi="Arial" w:cs="Arial"/>
          <w:sz w:val="24"/>
          <w:szCs w:val="24"/>
        </w:rPr>
        <w:t xml:space="preserve"> del Estado.</w:t>
      </w:r>
    </w:p>
    <w:p w:rsidR="006B5949" w:rsidRPr="00CA696C" w:rsidRDefault="0077592B" w:rsidP="006B5949">
      <w:pPr>
        <w:pStyle w:val="Prrafodelista"/>
        <w:numPr>
          <w:ilvl w:val="0"/>
          <w:numId w:val="2"/>
        </w:numPr>
        <w:spacing w:after="160" w:line="259" w:lineRule="auto"/>
        <w:jc w:val="both"/>
        <w:rPr>
          <w:rFonts w:ascii="Arial" w:hAnsi="Arial" w:cs="Arial"/>
          <w:sz w:val="24"/>
          <w:szCs w:val="24"/>
        </w:rPr>
      </w:pPr>
      <w:r w:rsidRPr="00CA696C">
        <w:rPr>
          <w:rFonts w:ascii="Arial" w:hAnsi="Arial" w:cs="Arial"/>
          <w:sz w:val="24"/>
          <w:szCs w:val="24"/>
        </w:rPr>
        <w:t>L</w:t>
      </w:r>
      <w:r w:rsidR="006B5949" w:rsidRPr="00CA696C">
        <w:rPr>
          <w:rFonts w:ascii="Arial" w:hAnsi="Arial" w:cs="Arial"/>
          <w:sz w:val="24"/>
          <w:szCs w:val="24"/>
        </w:rPr>
        <w:t>a constitución determina que son deberes del Estado:</w:t>
      </w:r>
    </w:p>
    <w:p w:rsidR="006B5949" w:rsidRPr="00CA696C" w:rsidRDefault="006B5949" w:rsidP="006B5949">
      <w:pPr>
        <w:pStyle w:val="Prrafodelista"/>
        <w:spacing w:after="160" w:line="259" w:lineRule="auto"/>
        <w:jc w:val="both"/>
        <w:rPr>
          <w:rFonts w:ascii="Arial" w:hAnsi="Arial" w:cs="Arial"/>
          <w:sz w:val="24"/>
          <w:szCs w:val="24"/>
        </w:rPr>
      </w:pPr>
      <w:r w:rsidRPr="00CA696C">
        <w:rPr>
          <w:rFonts w:ascii="Arial" w:hAnsi="Arial" w:cs="Arial"/>
          <w:sz w:val="24"/>
          <w:szCs w:val="24"/>
        </w:rPr>
        <w:t>Organizar, dirigir y reglamentar la prestación de servicios de salud. Dicha organización debe ser descentralizada y por niveles de atención y contar con la participación de la comunidad.</w:t>
      </w:r>
    </w:p>
    <w:p w:rsidR="006B5949" w:rsidRPr="00CA696C" w:rsidRDefault="006B5949" w:rsidP="006B5949">
      <w:pPr>
        <w:pStyle w:val="Prrafodelista"/>
        <w:numPr>
          <w:ilvl w:val="0"/>
          <w:numId w:val="2"/>
        </w:numPr>
        <w:spacing w:after="160" w:line="259" w:lineRule="auto"/>
        <w:jc w:val="both"/>
        <w:rPr>
          <w:rFonts w:ascii="Arial" w:hAnsi="Arial" w:cs="Arial"/>
          <w:sz w:val="24"/>
          <w:szCs w:val="24"/>
        </w:rPr>
      </w:pPr>
      <w:r w:rsidRPr="00CA696C">
        <w:rPr>
          <w:rFonts w:ascii="Arial" w:hAnsi="Arial" w:cs="Arial"/>
          <w:sz w:val="24"/>
          <w:szCs w:val="24"/>
        </w:rPr>
        <w:t xml:space="preserve">Dicha organización, dirección y reglamentación debe realizarse conforme a los principios de la eficiencia, universalidad y solidaridad. </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Para el cumplimiento de los deberes constitucionales el Estado Colombiano creo las Empresas Sociales del Estado (Hospitales) los cuales</w:t>
      </w:r>
      <w:r w:rsidR="00CA696C" w:rsidRPr="00CA696C">
        <w:rPr>
          <w:rFonts w:ascii="Arial" w:hAnsi="Arial" w:cs="Arial"/>
          <w:sz w:val="24"/>
          <w:szCs w:val="24"/>
        </w:rPr>
        <w:t xml:space="preserve"> según el Decreto 1876 de 1994</w:t>
      </w:r>
      <w:r w:rsidR="00CA696C" w:rsidRPr="00CA696C">
        <w:rPr>
          <w:rStyle w:val="Refdenotaalpie"/>
          <w:rFonts w:ascii="Arial" w:hAnsi="Arial" w:cs="Arial"/>
          <w:sz w:val="24"/>
          <w:szCs w:val="24"/>
        </w:rPr>
        <w:footnoteReference w:id="1"/>
      </w:r>
      <w:r w:rsidRPr="00CA696C">
        <w:rPr>
          <w:rFonts w:ascii="Arial" w:hAnsi="Arial" w:cs="Arial"/>
          <w:sz w:val="24"/>
          <w:szCs w:val="24"/>
        </w:rPr>
        <w:t xml:space="preserve"> </w:t>
      </w:r>
      <w:r w:rsidRPr="00CA696C">
        <w:rPr>
          <w:rFonts w:ascii="Arial" w:hAnsi="Arial" w:cs="Arial"/>
          <w:i/>
          <w:sz w:val="24"/>
          <w:szCs w:val="24"/>
        </w:rPr>
        <w:t>son una categoría especial de entidad pública descentralizada, con personería jurídica, patrimonio propio y autonomía administrativa, creadas por la ley o por las asambleas o concejos,</w:t>
      </w:r>
      <w:r w:rsidRPr="00CA696C">
        <w:rPr>
          <w:rFonts w:ascii="Arial" w:hAnsi="Arial" w:cs="Arial"/>
          <w:sz w:val="24"/>
          <w:szCs w:val="24"/>
        </w:rPr>
        <w:t xml:space="preserve"> según el caso, encargadas de la prestación de servicios</w:t>
      </w:r>
      <w:r w:rsidR="00CA696C" w:rsidRPr="00CA696C">
        <w:rPr>
          <w:rFonts w:ascii="Arial" w:hAnsi="Arial" w:cs="Arial"/>
          <w:sz w:val="24"/>
          <w:szCs w:val="24"/>
        </w:rPr>
        <w:t xml:space="preserve"> de salud en forma directa por el orden nacional </w:t>
      </w:r>
      <w:r w:rsidRPr="00CA696C">
        <w:rPr>
          <w:rFonts w:ascii="Arial" w:hAnsi="Arial" w:cs="Arial"/>
          <w:sz w:val="24"/>
          <w:szCs w:val="24"/>
        </w:rPr>
        <w:t xml:space="preserve"> o por las entidades territoriales de conformidad con lo establecido en el artículo 194 de la ley 100 de 1993</w:t>
      </w:r>
      <w:r w:rsidR="00CA696C" w:rsidRPr="00CA696C">
        <w:rPr>
          <w:rStyle w:val="Refdenotaalpie"/>
          <w:rFonts w:ascii="Arial" w:hAnsi="Arial" w:cs="Arial"/>
          <w:sz w:val="24"/>
          <w:szCs w:val="24"/>
        </w:rPr>
        <w:footnoteReference w:id="2"/>
      </w:r>
      <w:r w:rsidRPr="00CA696C">
        <w:rPr>
          <w:rFonts w:ascii="Arial" w:hAnsi="Arial" w:cs="Arial"/>
          <w:sz w:val="24"/>
          <w:szCs w:val="24"/>
        </w:rPr>
        <w:t xml:space="preserve">. </w:t>
      </w:r>
    </w:p>
    <w:p w:rsidR="000B39A8" w:rsidRPr="00CA696C" w:rsidRDefault="000B39A8" w:rsidP="000B39A8">
      <w:pPr>
        <w:spacing w:after="0" w:line="240" w:lineRule="auto"/>
        <w:jc w:val="both"/>
        <w:textAlignment w:val="center"/>
        <w:rPr>
          <w:rFonts w:ascii="Arial" w:hAnsi="Arial" w:cs="Arial"/>
          <w:sz w:val="24"/>
          <w:szCs w:val="24"/>
        </w:rPr>
      </w:pP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Su desarrollo legal se ha presentado a lo largo del tiempo en las siguientes disposiciones:</w:t>
      </w:r>
    </w:p>
    <w:p w:rsidR="000B39A8" w:rsidRPr="00CA696C" w:rsidRDefault="000B39A8" w:rsidP="000B39A8">
      <w:pPr>
        <w:spacing w:after="0" w:line="240" w:lineRule="auto"/>
        <w:jc w:val="both"/>
        <w:textAlignment w:val="center"/>
        <w:rPr>
          <w:rFonts w:ascii="Arial" w:hAnsi="Arial" w:cs="Arial"/>
          <w:sz w:val="24"/>
          <w:szCs w:val="24"/>
        </w:rPr>
      </w:pP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Ley 10 de 1990 “Por la cual se reorganiza el Sistema Nacional de Salud y se dictan otras disposiciones”.</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xml:space="preserve">• Ley 100 de 1993 “Por la cual se crea el sistema de seguridad social integral y se dictan otras disposiciones”. </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xml:space="preserve">•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artículo 83. </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Ley 344 de 1996 “Por la cual se dictan normas tendientes a la racionalización del gasto público, se conceden unas facultades extraordinarias y se expiden otras disposiciones”, artículo 21.</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Decreto 1750 de 2003 “Por el cual se escinde el Instituto de Seguros Sociales y se crean unas Empresas Sociales del Estado”.</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lastRenderedPageBreak/>
        <w:t xml:space="preserve">• Decreto 780 de 2016 “Por medio del cual se expide el Decreto Único Reglamentario del Sector Salud y Protección Social”, articulo 2.5.3.8.4.2.1 y siguientes. </w:t>
      </w:r>
    </w:p>
    <w:p w:rsidR="000B39A8" w:rsidRPr="00CA696C" w:rsidRDefault="000B39A8" w:rsidP="000B39A8">
      <w:pPr>
        <w:spacing w:after="0" w:line="240" w:lineRule="auto"/>
        <w:jc w:val="both"/>
        <w:textAlignment w:val="center"/>
        <w:rPr>
          <w:rFonts w:ascii="Arial" w:hAnsi="Arial" w:cs="Arial"/>
          <w:sz w:val="24"/>
          <w:szCs w:val="24"/>
        </w:rPr>
      </w:pPr>
      <w:r w:rsidRPr="00CA696C">
        <w:rPr>
          <w:rFonts w:ascii="Arial" w:hAnsi="Arial" w:cs="Arial"/>
          <w:sz w:val="24"/>
          <w:szCs w:val="24"/>
        </w:rPr>
        <w:t xml:space="preserve">• Decreto 1427 de 2016 “Por medio del cual se reglamenta el artículo 20 de la Ley 1797 de 2016 y se sustituyen las secciones 5 y 6 del Capítulo 8 del Título 3 de la Parte 5 del Libro 2 del Decreto 780 de 2016, Único Reglamentario del Sector Salud y Protección Social”. </w:t>
      </w:r>
    </w:p>
    <w:p w:rsidR="000B39A8" w:rsidRPr="00CA696C" w:rsidRDefault="000B39A8" w:rsidP="000B39A8">
      <w:pPr>
        <w:spacing w:after="0" w:line="240" w:lineRule="auto"/>
        <w:jc w:val="both"/>
        <w:textAlignment w:val="center"/>
        <w:rPr>
          <w:rFonts w:ascii="Arial" w:hAnsi="Arial" w:cs="Arial"/>
          <w:sz w:val="24"/>
          <w:szCs w:val="24"/>
        </w:rPr>
      </w:pPr>
    </w:p>
    <w:p w:rsidR="00432442" w:rsidRPr="00CA696C" w:rsidRDefault="00FC3947" w:rsidP="00432442">
      <w:pPr>
        <w:jc w:val="both"/>
        <w:rPr>
          <w:rFonts w:ascii="Arial" w:hAnsi="Arial" w:cs="Arial"/>
          <w:sz w:val="24"/>
          <w:szCs w:val="24"/>
        </w:rPr>
      </w:pPr>
      <w:r w:rsidRPr="00CA696C">
        <w:rPr>
          <w:rFonts w:ascii="Arial" w:hAnsi="Arial" w:cs="Arial"/>
          <w:sz w:val="24"/>
          <w:szCs w:val="24"/>
        </w:rPr>
        <w:t>Las Empresas Sociales del Estado,</w:t>
      </w:r>
      <w:r w:rsidR="00432442" w:rsidRPr="00CA696C">
        <w:rPr>
          <w:rFonts w:ascii="Arial" w:hAnsi="Arial" w:cs="Arial"/>
          <w:sz w:val="24"/>
          <w:szCs w:val="24"/>
        </w:rPr>
        <w:t xml:space="preserve"> como entidad pública </w:t>
      </w:r>
      <w:r w:rsidR="009C79B3" w:rsidRPr="00CA696C">
        <w:rPr>
          <w:rFonts w:ascii="Arial" w:hAnsi="Arial" w:cs="Arial"/>
          <w:sz w:val="24"/>
          <w:szCs w:val="24"/>
        </w:rPr>
        <w:t xml:space="preserve">tienen como finalidad </w:t>
      </w:r>
      <w:r w:rsidR="00432442" w:rsidRPr="00CA696C">
        <w:rPr>
          <w:rFonts w:ascii="Arial" w:hAnsi="Arial" w:cs="Arial"/>
          <w:sz w:val="24"/>
          <w:szCs w:val="24"/>
        </w:rPr>
        <w:t>garantizar una excelente prestación de servicios, contando con talento humano competente, infraestructura adecuada y apta y dotación de última tecnología que garantice un buen diagnóstico y tratamiento de la enfermedad.</w:t>
      </w:r>
    </w:p>
    <w:p w:rsidR="00952EE1" w:rsidRPr="00CA696C" w:rsidRDefault="00952EE1" w:rsidP="00432442">
      <w:pPr>
        <w:spacing w:after="160" w:line="259" w:lineRule="auto"/>
        <w:jc w:val="both"/>
        <w:rPr>
          <w:rFonts w:ascii="Arial" w:eastAsia="Times New Roman" w:hAnsi="Arial" w:cs="Arial"/>
          <w:sz w:val="24"/>
          <w:szCs w:val="24"/>
        </w:rPr>
      </w:pPr>
      <w:r w:rsidRPr="00CA696C">
        <w:rPr>
          <w:rFonts w:ascii="Arial" w:eastAsia="Times New Roman" w:hAnsi="Arial" w:cs="Arial"/>
          <w:sz w:val="24"/>
          <w:szCs w:val="24"/>
        </w:rPr>
        <w:t xml:space="preserve">El Departamento del Casanare se encuentra ubicado en el oriente de Colombia, con una extensión de 44.640 kilómetros cuadrados, está integrado </w:t>
      </w:r>
      <w:r w:rsidRPr="00CA696C">
        <w:rPr>
          <w:rFonts w:ascii="Arial" w:hAnsi="Arial" w:cs="Arial"/>
          <w:sz w:val="24"/>
          <w:szCs w:val="24"/>
          <w:shd w:val="clear" w:color="auto" w:fill="FFFFFF"/>
        </w:rPr>
        <w:t>19 municipios, 11 corregimientos</w:t>
      </w:r>
      <w:r w:rsidRPr="00CA696C">
        <w:rPr>
          <w:rFonts w:ascii="Arial" w:eastAsia="Times New Roman" w:hAnsi="Arial" w:cs="Arial"/>
          <w:sz w:val="24"/>
          <w:szCs w:val="24"/>
        </w:rPr>
        <w:t>; se distribuye en tres regiones: Vertiente Oriental de la Cordillera Oriental,   piedemonte y llanura aluvial. Su capital es Yopal.</w:t>
      </w:r>
    </w:p>
    <w:p w:rsidR="00952EE1" w:rsidRPr="00CA696C" w:rsidRDefault="00952EE1" w:rsidP="00952EE1">
      <w:pPr>
        <w:spacing w:after="0" w:line="240" w:lineRule="auto"/>
        <w:jc w:val="both"/>
        <w:textAlignment w:val="center"/>
        <w:rPr>
          <w:rFonts w:ascii="Arial" w:eastAsia="Times New Roman" w:hAnsi="Arial" w:cs="Arial"/>
          <w:sz w:val="24"/>
          <w:szCs w:val="24"/>
        </w:rPr>
      </w:pPr>
    </w:p>
    <w:p w:rsidR="00952EE1" w:rsidRPr="00CA696C" w:rsidRDefault="00952EE1" w:rsidP="00952EE1">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color w:val="000000"/>
          <w:sz w:val="24"/>
          <w:szCs w:val="24"/>
        </w:rPr>
        <w:t>El Departamento cuenta con una población de 379.982 personas según el Censo DANE de 2018 y cuenta con 11 resguardos indígenas, para la atención en salud de su población el Departamento cuenta con cinco E.S.E. cuatro de primer nivel (una departamental y tres municipales) y 1 de segundo nivel (departamental)</w:t>
      </w:r>
    </w:p>
    <w:p w:rsidR="00952EE1" w:rsidRPr="00CA696C" w:rsidRDefault="00952EE1" w:rsidP="00952EE1">
      <w:pPr>
        <w:spacing w:after="0" w:line="240" w:lineRule="auto"/>
        <w:jc w:val="both"/>
        <w:textAlignment w:val="center"/>
        <w:rPr>
          <w:rFonts w:ascii="Arial" w:eastAsia="Times New Roman" w:hAnsi="Arial" w:cs="Arial"/>
          <w:color w:val="000000"/>
          <w:sz w:val="24"/>
          <w:szCs w:val="24"/>
        </w:rPr>
      </w:pPr>
    </w:p>
    <w:p w:rsidR="00952EE1" w:rsidRPr="00CA696C" w:rsidRDefault="00952EE1" w:rsidP="00952EE1">
      <w:pPr>
        <w:spacing w:after="0" w:line="240" w:lineRule="auto"/>
        <w:jc w:val="both"/>
        <w:textAlignment w:val="center"/>
        <w:rPr>
          <w:rFonts w:ascii="Arial" w:eastAsia="Times New Roman" w:hAnsi="Arial" w:cs="Arial"/>
          <w:color w:val="000000"/>
          <w:sz w:val="24"/>
          <w:szCs w:val="24"/>
        </w:rPr>
      </w:pPr>
      <w:r w:rsidRPr="00CA696C">
        <w:rPr>
          <w:rFonts w:ascii="Arial" w:eastAsia="Times New Roman" w:hAnsi="Arial" w:cs="Arial"/>
          <w:color w:val="000000"/>
          <w:sz w:val="24"/>
          <w:szCs w:val="24"/>
        </w:rPr>
        <w:t xml:space="preserve">Según datos del Ministerio de Salud, la capacidad instalada de la red pública del Casanare es de 416 camas de hospitalización, 119 camas de observación y consultorios de consulta externa, 38 consultorios de urgencias, 6 salas de quirófanos, 23 mesas de partos y 41 unidades odontológicas. </w:t>
      </w:r>
    </w:p>
    <w:p w:rsidR="00952EE1" w:rsidRDefault="00952EE1" w:rsidP="00952EE1">
      <w:pPr>
        <w:spacing w:after="0" w:line="240" w:lineRule="auto"/>
        <w:jc w:val="center"/>
        <w:textAlignment w:val="center"/>
        <w:rPr>
          <w:rFonts w:ascii="Arial" w:eastAsia="Times New Roman" w:hAnsi="Arial" w:cs="Arial"/>
          <w:color w:val="000000"/>
          <w:sz w:val="24"/>
          <w:szCs w:val="24"/>
        </w:rPr>
      </w:pPr>
      <w:r w:rsidRPr="00CA696C">
        <w:rPr>
          <w:rFonts w:ascii="Arial" w:eastAsia="Times New Roman" w:hAnsi="Arial" w:cs="Arial"/>
          <w:noProof/>
          <w:color w:val="000000"/>
          <w:sz w:val="24"/>
          <w:szCs w:val="24"/>
          <w:lang w:val="es-CO"/>
        </w:rPr>
        <w:drawing>
          <wp:inline distT="0" distB="0" distL="0" distR="0" wp14:anchorId="00F9135E" wp14:editId="6E68AADA">
            <wp:extent cx="2513638" cy="2360263"/>
            <wp:effectExtent l="0" t="0" r="127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921" cy="2368979"/>
                    </a:xfrm>
                    <a:prstGeom prst="rect">
                      <a:avLst/>
                    </a:prstGeom>
                    <a:noFill/>
                    <a:ln>
                      <a:noFill/>
                    </a:ln>
                  </pic:spPr>
                </pic:pic>
              </a:graphicData>
            </a:graphic>
          </wp:inline>
        </w:drawing>
      </w:r>
    </w:p>
    <w:p w:rsidR="00952EE1" w:rsidRPr="00CA696C" w:rsidRDefault="00952EE1" w:rsidP="00952EE1">
      <w:pPr>
        <w:spacing w:after="0" w:line="240" w:lineRule="auto"/>
        <w:jc w:val="both"/>
        <w:textAlignment w:val="center"/>
        <w:rPr>
          <w:rFonts w:ascii="Arial" w:eastAsia="Times New Roman" w:hAnsi="Arial" w:cs="Arial"/>
          <w:color w:val="000000"/>
          <w:sz w:val="18"/>
          <w:szCs w:val="24"/>
        </w:rPr>
      </w:pPr>
      <w:r w:rsidRPr="00CA696C">
        <w:rPr>
          <w:rFonts w:ascii="Arial" w:eastAsia="Times New Roman" w:hAnsi="Arial" w:cs="Arial"/>
          <w:color w:val="000000"/>
          <w:sz w:val="18"/>
          <w:szCs w:val="24"/>
        </w:rPr>
        <w:t>Fuente:https://prestadores.minsalud.gov.co/siho/informes/capacidadinstaladanacional.aspx?pageTitle=Capacidad+Instalada&amp;pageHlp=%2fSIHO%2fayudas%2finformes%2fcapacidad.pdf.</w:t>
      </w:r>
    </w:p>
    <w:p w:rsidR="002D4742" w:rsidRPr="00CA696C" w:rsidRDefault="00952EE1" w:rsidP="00371460">
      <w:pPr>
        <w:jc w:val="both"/>
        <w:rPr>
          <w:rFonts w:ascii="Arial" w:hAnsi="Arial" w:cs="Arial"/>
          <w:sz w:val="24"/>
          <w:szCs w:val="24"/>
          <w:shd w:val="clear" w:color="auto" w:fill="FFFFFF"/>
        </w:rPr>
      </w:pPr>
      <w:r w:rsidRPr="00CA696C">
        <w:rPr>
          <w:rFonts w:ascii="Arial" w:hAnsi="Arial" w:cs="Arial"/>
          <w:sz w:val="24"/>
          <w:szCs w:val="24"/>
        </w:rPr>
        <w:lastRenderedPageBreak/>
        <w:t>Según la organización Mundial de la Salud –OMS</w:t>
      </w:r>
      <w:r w:rsidRPr="00CA696C">
        <w:rPr>
          <w:rStyle w:val="Refdenotaalpie"/>
          <w:rFonts w:ascii="Arial" w:hAnsi="Arial" w:cs="Arial"/>
          <w:sz w:val="24"/>
          <w:szCs w:val="24"/>
        </w:rPr>
        <w:footnoteReference w:id="3"/>
      </w:r>
      <w:r w:rsidRPr="00CA696C">
        <w:rPr>
          <w:rFonts w:ascii="Arial" w:hAnsi="Arial" w:cs="Arial"/>
          <w:sz w:val="24"/>
          <w:szCs w:val="24"/>
        </w:rPr>
        <w:t>, el</w:t>
      </w:r>
      <w:r w:rsidRPr="00CA696C">
        <w:rPr>
          <w:rFonts w:ascii="Arial" w:hAnsi="Arial" w:cs="Arial"/>
          <w:sz w:val="24"/>
          <w:szCs w:val="24"/>
          <w:shd w:val="clear" w:color="auto" w:fill="FFFFFF"/>
        </w:rPr>
        <w:t xml:space="preserve"> Índice de camas por habitante es de 2.5 – 4 Camas por 1000 hab, en poblaciones menor 25.000 hab 2,5 - 3 camas por 1000 hab. Poblaciones 25000 -100.000 hab 3 - 4 camas por 1000 hab. Poblaciones mayores 100.000 hab 4 -4.75 camas por 1000 hab, al comparar este estándar internacional nos damos cuenta que el Departamento no </w:t>
      </w:r>
      <w:r w:rsidR="009C79B3" w:rsidRPr="00CA696C">
        <w:rPr>
          <w:rFonts w:ascii="Arial" w:hAnsi="Arial" w:cs="Arial"/>
          <w:sz w:val="24"/>
          <w:szCs w:val="24"/>
          <w:shd w:val="clear" w:color="auto" w:fill="FFFFFF"/>
        </w:rPr>
        <w:t>cumple con el índice de la OMS, p</w:t>
      </w:r>
      <w:r w:rsidRPr="00CA696C">
        <w:rPr>
          <w:rFonts w:ascii="Arial" w:hAnsi="Arial" w:cs="Arial"/>
          <w:sz w:val="24"/>
          <w:szCs w:val="24"/>
          <w:shd w:val="clear" w:color="auto" w:fill="FFFFFF"/>
        </w:rPr>
        <w:t>ues en la actualidad cuenta co</w:t>
      </w:r>
      <w:r w:rsidR="009C79B3" w:rsidRPr="00CA696C">
        <w:rPr>
          <w:rFonts w:ascii="Arial" w:hAnsi="Arial" w:cs="Arial"/>
          <w:sz w:val="24"/>
          <w:szCs w:val="24"/>
          <w:shd w:val="clear" w:color="auto" w:fill="FFFFFF"/>
        </w:rPr>
        <w:t>n 1.</w:t>
      </w:r>
      <w:r w:rsidR="00371460" w:rsidRPr="00CA696C">
        <w:rPr>
          <w:rFonts w:ascii="Arial" w:hAnsi="Arial" w:cs="Arial"/>
          <w:sz w:val="24"/>
          <w:szCs w:val="24"/>
          <w:shd w:val="clear" w:color="auto" w:fill="FFFFFF"/>
        </w:rPr>
        <w:t>40</w:t>
      </w:r>
      <w:r w:rsidR="009C79B3" w:rsidRPr="00CA696C">
        <w:rPr>
          <w:rFonts w:ascii="Arial" w:hAnsi="Arial" w:cs="Arial"/>
          <w:sz w:val="24"/>
          <w:szCs w:val="24"/>
          <w:shd w:val="clear" w:color="auto" w:fill="FFFFFF"/>
        </w:rPr>
        <w:t xml:space="preserve"> camas por</w:t>
      </w:r>
      <w:r w:rsidR="00371460" w:rsidRPr="00CA696C">
        <w:rPr>
          <w:rFonts w:ascii="Arial" w:hAnsi="Arial" w:cs="Arial"/>
          <w:sz w:val="24"/>
          <w:szCs w:val="24"/>
          <w:shd w:val="clear" w:color="auto" w:fill="FFFFFF"/>
        </w:rPr>
        <w:t xml:space="preserve"> cada mil habitantes, es decir solo se cuenta con el 30% de las camas requeridas.</w:t>
      </w:r>
    </w:p>
    <w:p w:rsidR="00371460" w:rsidRPr="00CA696C" w:rsidRDefault="00371460" w:rsidP="00371460">
      <w:pPr>
        <w:jc w:val="both"/>
        <w:rPr>
          <w:rFonts w:ascii="Arial" w:hAnsi="Arial" w:cs="Arial"/>
          <w:sz w:val="24"/>
          <w:szCs w:val="24"/>
          <w:shd w:val="clear" w:color="auto" w:fill="FFFFFF"/>
        </w:rPr>
      </w:pPr>
      <w:r w:rsidRPr="00CA696C">
        <w:rPr>
          <w:rFonts w:ascii="Arial" w:hAnsi="Arial" w:cs="Arial"/>
          <w:sz w:val="24"/>
          <w:szCs w:val="24"/>
          <w:shd w:val="clear" w:color="auto" w:fill="FFFFFF"/>
        </w:rPr>
        <w:t>Por lo anterior se desprende la importancia de crear una estampilla con el único fin de generar nuevas fuentes de financiación que ayudarían a mejorar la infraestructura de la Red Pública de Salud en el Departamento.</w:t>
      </w:r>
    </w:p>
    <w:p w:rsidR="000B39A8" w:rsidRPr="00CA696C" w:rsidRDefault="000B39A8" w:rsidP="000B39A8">
      <w:pPr>
        <w:spacing w:after="160" w:line="259" w:lineRule="auto"/>
        <w:jc w:val="both"/>
        <w:rPr>
          <w:rFonts w:ascii="Arial" w:hAnsi="Arial" w:cs="Arial"/>
          <w:sz w:val="24"/>
          <w:szCs w:val="24"/>
        </w:rPr>
      </w:pPr>
    </w:p>
    <w:p w:rsidR="00CA696C" w:rsidRPr="00CA696C" w:rsidRDefault="00CA696C" w:rsidP="00CA696C">
      <w:pPr>
        <w:spacing w:after="0" w:line="240" w:lineRule="auto"/>
        <w:rPr>
          <w:rFonts w:ascii="Arial" w:eastAsia="Times New Roman" w:hAnsi="Arial" w:cs="Arial"/>
          <w:sz w:val="24"/>
          <w:szCs w:val="24"/>
          <w:lang w:val="es-CO"/>
        </w:rPr>
      </w:pPr>
    </w:p>
    <w:p w:rsidR="00CA696C" w:rsidRPr="00CA696C" w:rsidRDefault="00CA696C" w:rsidP="00CA696C">
      <w:pPr>
        <w:spacing w:after="0" w:line="240" w:lineRule="auto"/>
        <w:jc w:val="both"/>
        <w:rPr>
          <w:rFonts w:ascii="Arial" w:eastAsia="Times New Roman" w:hAnsi="Arial" w:cs="Arial"/>
          <w:sz w:val="24"/>
          <w:szCs w:val="24"/>
          <w:lang w:val="es-CO"/>
        </w:rPr>
      </w:pPr>
      <w:r w:rsidRPr="00CA696C">
        <w:rPr>
          <w:rFonts w:ascii="Arial" w:eastAsia="Times New Roman" w:hAnsi="Arial" w:cs="Arial"/>
          <w:color w:val="000000"/>
          <w:sz w:val="24"/>
          <w:szCs w:val="24"/>
          <w:lang w:val="es-CO"/>
        </w:rPr>
        <w:t> </w:t>
      </w:r>
    </w:p>
    <w:p w:rsidR="00CA696C" w:rsidRPr="00CA696C" w:rsidRDefault="00CA696C" w:rsidP="00CA696C">
      <w:pPr>
        <w:pStyle w:val="Sinespaciado"/>
        <w:rPr>
          <w:rFonts w:eastAsia="Times New Roman"/>
        </w:rPr>
      </w:pPr>
      <w:r w:rsidRPr="00CA696C">
        <w:rPr>
          <w:rFonts w:eastAsia="Times New Roman"/>
        </w:rPr>
        <w:br/>
      </w:r>
    </w:p>
    <w:p w:rsidR="00CA696C" w:rsidRPr="00CA696C" w:rsidRDefault="00CA696C" w:rsidP="00CA696C">
      <w:pPr>
        <w:spacing w:after="0" w:line="240" w:lineRule="auto"/>
        <w:rPr>
          <w:rFonts w:ascii="Arial" w:eastAsia="Times New Roman" w:hAnsi="Arial" w:cs="Arial"/>
          <w:sz w:val="24"/>
          <w:szCs w:val="24"/>
          <w:lang w:val="es-CO"/>
        </w:rPr>
      </w:pPr>
      <w:r w:rsidRPr="00CA696C">
        <w:rPr>
          <w:rFonts w:ascii="Arial" w:eastAsia="Times New Roman" w:hAnsi="Arial" w:cs="Arial"/>
          <w:b/>
          <w:bCs/>
          <w:color w:val="000000"/>
          <w:sz w:val="24"/>
          <w:szCs w:val="24"/>
          <w:lang w:val="es-CO"/>
        </w:rPr>
        <w:t>JAIRO CRISTANCHO </w:t>
      </w:r>
    </w:p>
    <w:p w:rsidR="00CA696C" w:rsidRPr="00CA696C" w:rsidRDefault="00CA696C" w:rsidP="00CA696C">
      <w:pPr>
        <w:spacing w:after="0" w:line="240" w:lineRule="auto"/>
        <w:rPr>
          <w:rFonts w:ascii="Arial" w:eastAsia="Times New Roman" w:hAnsi="Arial" w:cs="Arial"/>
          <w:sz w:val="24"/>
          <w:szCs w:val="24"/>
          <w:lang w:val="es-CO"/>
        </w:rPr>
      </w:pPr>
      <w:r w:rsidRPr="00CA696C">
        <w:rPr>
          <w:rFonts w:ascii="Arial" w:eastAsia="Times New Roman" w:hAnsi="Arial" w:cs="Arial"/>
          <w:b/>
          <w:bCs/>
          <w:color w:val="000000"/>
          <w:sz w:val="24"/>
          <w:szCs w:val="24"/>
          <w:lang w:val="es-CO"/>
        </w:rPr>
        <w:t>Representante a la Cámara</w:t>
      </w:r>
    </w:p>
    <w:p w:rsidR="00CA696C" w:rsidRPr="00CA696C" w:rsidRDefault="00CA696C" w:rsidP="00CA696C">
      <w:pPr>
        <w:rPr>
          <w:rFonts w:ascii="Arial" w:hAnsi="Arial" w:cs="Arial"/>
          <w:sz w:val="24"/>
          <w:szCs w:val="24"/>
        </w:rPr>
      </w:pPr>
      <w:r w:rsidRPr="00CA696C">
        <w:rPr>
          <w:rFonts w:ascii="Arial" w:hAnsi="Arial" w:cs="Arial"/>
          <w:sz w:val="24"/>
          <w:szCs w:val="24"/>
        </w:rPr>
        <w:t xml:space="preserve"> </w:t>
      </w:r>
    </w:p>
    <w:p w:rsidR="00CA696C" w:rsidRPr="00CA696C" w:rsidRDefault="00CA696C" w:rsidP="00CA696C">
      <w:pPr>
        <w:rPr>
          <w:rFonts w:ascii="Arial" w:hAnsi="Arial" w:cs="Arial"/>
          <w:sz w:val="24"/>
          <w:szCs w:val="24"/>
        </w:rPr>
      </w:pPr>
    </w:p>
    <w:p w:rsidR="00CA696C" w:rsidRPr="00CA696C" w:rsidRDefault="00CA696C" w:rsidP="00CA696C">
      <w:pPr>
        <w:rPr>
          <w:rFonts w:ascii="Arial" w:hAnsi="Arial" w:cs="Arial"/>
          <w:sz w:val="24"/>
          <w:szCs w:val="24"/>
        </w:rPr>
      </w:pPr>
    </w:p>
    <w:p w:rsidR="00CA696C" w:rsidRPr="00CA696C" w:rsidRDefault="00CA696C" w:rsidP="00CA696C">
      <w:pPr>
        <w:rPr>
          <w:rFonts w:ascii="Arial" w:hAnsi="Arial" w:cs="Arial"/>
          <w:sz w:val="24"/>
          <w:szCs w:val="24"/>
        </w:rPr>
      </w:pPr>
    </w:p>
    <w:p w:rsidR="00CA696C" w:rsidRPr="00CA696C" w:rsidRDefault="00CA696C" w:rsidP="000B39A8">
      <w:pPr>
        <w:spacing w:after="160" w:line="259" w:lineRule="auto"/>
        <w:jc w:val="both"/>
        <w:rPr>
          <w:rFonts w:ascii="Arial" w:hAnsi="Arial" w:cs="Arial"/>
          <w:sz w:val="24"/>
          <w:szCs w:val="24"/>
        </w:rPr>
      </w:pPr>
    </w:p>
    <w:sectPr w:rsidR="00CA696C" w:rsidRPr="00CA696C">
      <w:headerReference w:type="default" r:id="rId10"/>
      <w:pgSz w:w="12240" w:h="15840"/>
      <w:pgMar w:top="2341" w:right="1701" w:bottom="1417" w:left="1701" w:header="708" w:footer="0" w:gutter="0"/>
      <w:pgNumType w:start="1"/>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BFB" w:rsidRDefault="00E42BFB">
      <w:pPr>
        <w:spacing w:after="0" w:line="240" w:lineRule="auto"/>
      </w:pPr>
      <w:r>
        <w:separator/>
      </w:r>
    </w:p>
  </w:endnote>
  <w:endnote w:type="continuationSeparator" w:id="0">
    <w:p w:rsidR="00E42BFB" w:rsidRDefault="00E4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BFB" w:rsidRDefault="00E42BFB">
      <w:pPr>
        <w:spacing w:after="0" w:line="240" w:lineRule="auto"/>
      </w:pPr>
      <w:r>
        <w:separator/>
      </w:r>
    </w:p>
  </w:footnote>
  <w:footnote w:type="continuationSeparator" w:id="0">
    <w:p w:rsidR="00E42BFB" w:rsidRDefault="00E42BFB">
      <w:pPr>
        <w:spacing w:after="0" w:line="240" w:lineRule="auto"/>
      </w:pPr>
      <w:r>
        <w:continuationSeparator/>
      </w:r>
    </w:p>
  </w:footnote>
  <w:footnote w:id="1">
    <w:p w:rsidR="00CA696C" w:rsidRPr="00CA696C" w:rsidRDefault="00CA696C">
      <w:pPr>
        <w:pStyle w:val="Textonotapie"/>
        <w:rPr>
          <w:rFonts w:asciiTheme="majorHAnsi" w:hAnsiTheme="majorHAnsi"/>
          <w:lang w:val="es-CO"/>
        </w:rPr>
      </w:pPr>
      <w:r>
        <w:rPr>
          <w:rStyle w:val="Refdenotaalpie"/>
        </w:rPr>
        <w:footnoteRef/>
      </w:r>
      <w:r>
        <w:t xml:space="preserve"> </w:t>
      </w:r>
      <w:r>
        <w:rPr>
          <w:rFonts w:asciiTheme="majorHAnsi" w:hAnsiTheme="majorHAnsi" w:cs="Arial"/>
          <w:bCs/>
          <w:sz w:val="18"/>
          <w:szCs w:val="25"/>
          <w:shd w:val="clear" w:color="auto" w:fill="FFFFFF"/>
        </w:rPr>
        <w:t>Decreto</w:t>
      </w:r>
      <w:r w:rsidRPr="00CA696C">
        <w:rPr>
          <w:rFonts w:asciiTheme="majorHAnsi" w:hAnsiTheme="majorHAnsi" w:cs="Arial"/>
          <w:bCs/>
          <w:sz w:val="18"/>
          <w:szCs w:val="25"/>
          <w:shd w:val="clear" w:color="auto" w:fill="FFFFFF"/>
        </w:rPr>
        <w:t xml:space="preserve"> 1876 DE 1994</w:t>
      </w:r>
    </w:p>
  </w:footnote>
  <w:footnote w:id="2">
    <w:p w:rsidR="00CA696C" w:rsidRPr="00CA696C" w:rsidRDefault="00CA696C">
      <w:pPr>
        <w:pStyle w:val="Textonotapie"/>
        <w:rPr>
          <w:lang w:val="es-CO"/>
        </w:rPr>
      </w:pPr>
      <w:r w:rsidRPr="00CA696C">
        <w:rPr>
          <w:rStyle w:val="Refdenotaalpie"/>
          <w:rFonts w:asciiTheme="majorHAnsi" w:hAnsiTheme="majorHAnsi"/>
        </w:rPr>
        <w:footnoteRef/>
      </w:r>
      <w:r w:rsidRPr="00CA696C">
        <w:rPr>
          <w:rFonts w:asciiTheme="majorHAnsi" w:hAnsiTheme="majorHAnsi"/>
        </w:rPr>
        <w:t xml:space="preserve"> </w:t>
      </w:r>
      <w:r w:rsidRPr="00CA696C">
        <w:rPr>
          <w:rFonts w:asciiTheme="majorHAnsi" w:hAnsiTheme="majorHAnsi"/>
          <w:lang w:val="es-CO"/>
        </w:rPr>
        <w:t>Ley 100 de 1993</w:t>
      </w:r>
    </w:p>
  </w:footnote>
  <w:footnote w:id="3">
    <w:p w:rsidR="00952EE1" w:rsidRPr="009C5C05" w:rsidRDefault="00952EE1" w:rsidP="00952EE1">
      <w:pPr>
        <w:pStyle w:val="Textonotapie"/>
        <w:rPr>
          <w:lang w:val="es-CO"/>
        </w:rPr>
      </w:pPr>
      <w:r w:rsidRPr="0058328E">
        <w:rPr>
          <w:rStyle w:val="Refdenotaalpie"/>
          <w:sz w:val="18"/>
        </w:rPr>
        <w:footnoteRef/>
      </w:r>
      <w:r w:rsidRPr="0058328E">
        <w:rPr>
          <w:sz w:val="18"/>
        </w:rPr>
        <w:t>.https://datos.bancomundial.org/indicator/SH.MED.BEDS.ZS?end=2019&amp;start=2019&amp;view=map&amp;year=2018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C06" w:rsidRDefault="006F29CD">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noProof/>
        <w:color w:val="000000"/>
        <w:sz w:val="16"/>
        <w:szCs w:val="16"/>
        <w:lang w:val="es-CO"/>
      </w:rPr>
      <w:drawing>
        <wp:anchor distT="0" distB="0" distL="0" distR="0" simplePos="0" relativeHeight="251658240" behindDoc="0" locked="0" layoutInCell="1" hidden="0" allowOverlap="1">
          <wp:simplePos x="0" y="0"/>
          <wp:positionH relativeFrom="page">
            <wp:posOffset>349885</wp:posOffset>
          </wp:positionH>
          <wp:positionV relativeFrom="page">
            <wp:posOffset>163627</wp:posOffset>
          </wp:positionV>
          <wp:extent cx="1849739" cy="505460"/>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49739" cy="505460"/>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4486275</wp:posOffset>
          </wp:positionH>
          <wp:positionV relativeFrom="paragraph">
            <wp:posOffset>-376439</wp:posOffset>
          </wp:positionV>
          <wp:extent cx="1756221" cy="689704"/>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56221" cy="689704"/>
                  </a:xfrm>
                  <a:prstGeom prst="rect">
                    <a:avLst/>
                  </a:prstGeom>
                  <a:ln/>
                </pic:spPr>
              </pic:pic>
            </a:graphicData>
          </a:graphic>
        </wp:anchor>
      </w:drawing>
    </w:r>
    <w:r>
      <w:rPr>
        <w:noProof/>
        <w:lang w:val="es-CO"/>
      </w:rPr>
      <mc:AlternateContent>
        <mc:Choice Requires="wpg">
          <w:drawing>
            <wp:anchor distT="0" distB="0" distL="114300" distR="114300" simplePos="0" relativeHeight="251660288" behindDoc="0" locked="0" layoutInCell="1" hidden="0" allowOverlap="1">
              <wp:simplePos x="0" y="0"/>
              <wp:positionH relativeFrom="column">
                <wp:posOffset>1003300</wp:posOffset>
              </wp:positionH>
              <wp:positionV relativeFrom="paragraph">
                <wp:posOffset>-457199</wp:posOffset>
              </wp:positionV>
              <wp:extent cx="5671185" cy="816610"/>
              <wp:effectExtent l="0" t="0" r="0" b="0"/>
              <wp:wrapNone/>
              <wp:docPr id="5" name="Grupo 5"/>
              <wp:cNvGraphicFramePr/>
              <a:graphic xmlns:a="http://schemas.openxmlformats.org/drawingml/2006/main">
                <a:graphicData uri="http://schemas.microsoft.com/office/word/2010/wordprocessingGroup">
                  <wpg:wgp>
                    <wpg:cNvGrpSpPr/>
                    <wpg:grpSpPr>
                      <a:xfrm>
                        <a:off x="0" y="0"/>
                        <a:ext cx="5671185" cy="816610"/>
                        <a:chOff x="2510408" y="3371695"/>
                        <a:chExt cx="5671185" cy="816610"/>
                      </a:xfrm>
                    </wpg:grpSpPr>
                    <wpg:grpSp>
                      <wpg:cNvPr id="1" name="Grupo 1"/>
                      <wpg:cNvGrpSpPr/>
                      <wpg:grpSpPr>
                        <a:xfrm rot="10800000">
                          <a:off x="2510408" y="3371695"/>
                          <a:ext cx="5671185" cy="816610"/>
                          <a:chOff x="0" y="-55"/>
                          <a:chExt cx="6318891" cy="886873"/>
                        </a:xfrm>
                      </wpg:grpSpPr>
                      <wps:wsp>
                        <wps:cNvPr id="2" name="Rectángulo 2"/>
                        <wps:cNvSpPr/>
                        <wps:spPr>
                          <a:xfrm>
                            <a:off x="0" y="-55"/>
                            <a:ext cx="6318875" cy="886850"/>
                          </a:xfrm>
                          <a:prstGeom prst="rect">
                            <a:avLst/>
                          </a:prstGeom>
                          <a:noFill/>
                          <a:ln>
                            <a:noFill/>
                          </a:ln>
                        </wps:spPr>
                        <wps:txbx>
                          <w:txbxContent>
                            <w:p w:rsidR="00BB3C06" w:rsidRDefault="00BB3C06">
                              <w:pPr>
                                <w:spacing w:after="0" w:line="240" w:lineRule="auto"/>
                                <w:textDirection w:val="btLr"/>
                              </w:pPr>
                            </w:p>
                          </w:txbxContent>
                        </wps:txbx>
                        <wps:bodyPr spcFirstLastPara="1" wrap="square" lIns="91425" tIns="91425" rIns="91425" bIns="91425" anchor="ctr" anchorCtr="0">
                          <a:noAutofit/>
                        </wps:bodyPr>
                      </wps:wsp>
                      <wps:wsp>
                        <wps:cNvPr id="3" name="Forma libre 3"/>
                        <wps:cNvSpPr/>
                        <wps:spPr>
                          <a:xfrm rot="-5400000">
                            <a:off x="2788755" y="-2652914"/>
                            <a:ext cx="877277" cy="6182995"/>
                          </a:xfrm>
                          <a:custGeom>
                            <a:avLst/>
                            <a:gdLst/>
                            <a:ahLst/>
                            <a:cxnLst/>
                            <a:rect l="l" t="t" r="r" b="b"/>
                            <a:pathLst>
                              <a:path w="21600" h="21600" extrusionOk="0">
                                <a:moveTo>
                                  <a:pt x="0" y="0"/>
                                </a:moveTo>
                                <a:lnTo>
                                  <a:pt x="21600" y="0"/>
                                </a:lnTo>
                                <a:lnTo>
                                  <a:pt x="21600" y="15866"/>
                                </a:lnTo>
                                <a:cubicBezTo>
                                  <a:pt x="19507" y="18997"/>
                                  <a:pt x="4011" y="19011"/>
                                  <a:pt x="0" y="21600"/>
                                </a:cubicBezTo>
                                <a:lnTo>
                                  <a:pt x="0" y="0"/>
                                </a:lnTo>
                                <a:close/>
                              </a:path>
                            </a:pathLst>
                          </a:custGeom>
                          <a:solidFill>
                            <a:srgbClr val="84CAEB"/>
                          </a:solidFill>
                          <a:ln>
                            <a:noFill/>
                          </a:ln>
                        </wps:spPr>
                        <wps:txbx>
                          <w:txbxContent>
                            <w:p w:rsidR="00BB3C06" w:rsidRDefault="00BB3C06">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rot="-5400000">
                            <a:off x="2624261" y="-2623831"/>
                            <a:ext cx="886388" cy="6134909"/>
                          </a:xfrm>
                          <a:custGeom>
                            <a:avLst/>
                            <a:gdLst/>
                            <a:ahLst/>
                            <a:cxnLst/>
                            <a:rect l="l" t="t" r="r" b="b"/>
                            <a:pathLst>
                              <a:path w="21600" h="21600" extrusionOk="0">
                                <a:moveTo>
                                  <a:pt x="0" y="0"/>
                                </a:moveTo>
                                <a:lnTo>
                                  <a:pt x="21600" y="0"/>
                                </a:lnTo>
                                <a:lnTo>
                                  <a:pt x="21600" y="15866"/>
                                </a:lnTo>
                                <a:cubicBezTo>
                                  <a:pt x="19507" y="18997"/>
                                  <a:pt x="4011" y="19011"/>
                                  <a:pt x="0" y="21600"/>
                                </a:cubicBezTo>
                                <a:lnTo>
                                  <a:pt x="0" y="0"/>
                                </a:lnTo>
                                <a:close/>
                              </a:path>
                            </a:pathLst>
                          </a:custGeom>
                          <a:solidFill>
                            <a:srgbClr val="1F3864"/>
                          </a:solidFill>
                          <a:ln>
                            <a:noFill/>
                          </a:ln>
                        </wps:spPr>
                        <wps:txbx>
                          <w:txbxContent>
                            <w:p w:rsidR="00BB3C06" w:rsidRDefault="00BB3C06">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upo 5" o:spid="_x0000_s1026" style="position:absolute;margin-left:79pt;margin-top:-36pt;width:446.55pt;height:64.3pt;z-index:251660288" coordorigin="25104,33716" coordsize="56711,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">
              <v:group id="Grupo 1" o:spid="_x0000_s1027" style="position:absolute;left:25104;top:33716;width:56711;height:8167;rotation:180" coordorigin="" coordsize="63188,8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g47b4AAADaAAAADwAAAGRycy9kb3ducmV2LnhtbERPS4vCMBC+C/sfwizs&#10;TdN1VaQaRRZkexJ8gNehGZtqMylJ1O6/N4Lgafj4njNfdrYRN/Khdqzge5CBIC6drrlScNiv+1MQ&#10;ISJrbByTgn8KsFx89OaYa3fnLd12sRIphEOOCkyMbS5lKA1ZDAPXEifu5LzFmKCvpPZ4T+G2kcMs&#10;m0iLNacGgy39Giovu6tVoEfh50BFsfLDzXk/rsd/pjodlfr67FYzEJG6+Ba/3IVO8+H5yvPKxQM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v1g47b4AAADaAAAADwAAAAAA&#10;AAAAAAAAAACqAgAAZHJzL2Rvd25yZXYueG1sUEsFBgAAAAAEAAQA+gAAAJUDAAAAAA==&#10;">
                <v:rect id="Rectángulo 2" o:spid="_x0000_s1028" style="position:absolute;width:63188;height:8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BB3C06" w:rsidRDefault="00BB3C06">
                        <w:pPr>
                          <w:spacing w:after="0" w:line="240" w:lineRule="auto"/>
                          <w:textDirection w:val="btLr"/>
                        </w:pPr>
                      </w:p>
                    </w:txbxContent>
                  </v:textbox>
                </v:rect>
                <v:shape id="Forma libre 3" o:spid="_x0000_s1029" style="position:absolute;left:27887;top:-26529;width:8772;height:61830;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94sMA&#10;AADaAAAADwAAAGRycy9kb3ducmV2LnhtbESP0WrCQBRE3wv9h+UKfasbLSQaXaUo0j4IxbQfcMne&#10;JKvZuyG7xvj33YLQx2FmzjDr7WhbMVDvjWMFs2kCgrh02nCt4Of78LoA4QOyxtYxKbiTh+3m+WmN&#10;uXY3PtFQhFpECPscFTQhdLmUvmzIop+6jjh6lesthij7WuoebxFuWzlPklRaNBwXGuxo11B5Ka5W&#10;QeXxvMw+ZvtdlQ6Xr+NoMr4XSr1MxvcViEBj+A8/2p9awRv8XY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X94sMAAADaAAAADwAAAAAAAAAAAAAAAACYAgAAZHJzL2Rv&#10;d25yZXYueG1sUEsFBgAAAAAEAAQA9QAAAIgDAAAAAA==&#10;" adj="-11796480,,5400" path="m,l21600,r,15866c19507,18997,4011,19011,,21600l,xe" fillcolor="#84caeb" stroked="f">
                  <v:stroke joinstyle="miter"/>
                  <v:formulas/>
                  <v:path arrowok="t" o:extrusionok="f" o:connecttype="custom" textboxrect="0,0,21600,21600"/>
                  <v:textbox inset="2.53958mm,2.53958mm,2.53958mm,2.53958mm">
                    <w:txbxContent>
                      <w:p w:rsidR="00BB3C06" w:rsidRDefault="00BB3C06">
                        <w:pPr>
                          <w:spacing w:after="0" w:line="240" w:lineRule="auto"/>
                          <w:textDirection w:val="btLr"/>
                        </w:pPr>
                      </w:p>
                    </w:txbxContent>
                  </v:textbox>
                </v:shape>
                <v:shape id="Forma libre 4" o:spid="_x0000_s1030" style="position:absolute;left:26243;top:-26239;width:8864;height:61349;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9ZQsMA&#10;AADaAAAADwAAAGRycy9kb3ducmV2LnhtbESP0UoDMRRE3wX/IVzBN5vVFrHbpkUEoSi12PYDbjd3&#10;N6GbmzWJ7e7fNwXBx2FmzjDzZe9acaIQrWcFj6MCBHHlteVGwX73/vACIiZkja1nUjBQhOXi9maO&#10;pfZn/qbTNjUiQziWqMCk1JVSxsqQwzjyHXH2ah8cpixDI3XAc4a7Vj4VxbN0aDkvGOzozVB13P46&#10;BW6o6+HzYDdjO/mop+Fr/WPMWqn7u/51BiJRn/7Df+2VVjCB65V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9ZQsMAAADaAAAADwAAAAAAAAAAAAAAAACYAgAAZHJzL2Rv&#10;d25yZXYueG1sUEsFBgAAAAAEAAQA9QAAAIgDAAAAAA==&#10;" adj="-11796480,,5400" path="m,l21600,r,15866c19507,18997,4011,19011,,21600l,xe" fillcolor="#1f3864" stroked="f">
                  <v:stroke joinstyle="miter"/>
                  <v:formulas/>
                  <v:path arrowok="t" o:extrusionok="f" o:connecttype="custom" textboxrect="0,0,21600,21600"/>
                  <v:textbox inset="2.53958mm,2.53958mm,2.53958mm,2.53958mm">
                    <w:txbxContent>
                      <w:p w:rsidR="00BB3C06" w:rsidRDefault="00BB3C06">
                        <w:pPr>
                          <w:spacing w:after="0" w:line="240" w:lineRule="auto"/>
                          <w:textDirection w:val="btLr"/>
                        </w:pPr>
                      </w:p>
                    </w:txbxContent>
                  </v:textbox>
                </v:shape>
              </v:group>
            </v:group>
          </w:pict>
        </mc:Fallback>
      </mc:AlternateContent>
    </w:r>
    <w:r>
      <w:rPr>
        <w:noProof/>
        <w:lang w:val="es-CO"/>
      </w:rPr>
      <w:drawing>
        <wp:anchor distT="0" distB="0" distL="114300" distR="114300" simplePos="0" relativeHeight="251661312" behindDoc="0" locked="0" layoutInCell="1" hidden="0" allowOverlap="1">
          <wp:simplePos x="0" y="0"/>
          <wp:positionH relativeFrom="column">
            <wp:posOffset>4873625</wp:posOffset>
          </wp:positionH>
          <wp:positionV relativeFrom="paragraph">
            <wp:posOffset>-388822</wp:posOffset>
          </wp:positionV>
          <wp:extent cx="1756221" cy="689704"/>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56221" cy="68970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D156F"/>
    <w:multiLevelType w:val="hybridMultilevel"/>
    <w:tmpl w:val="4E50B004"/>
    <w:lvl w:ilvl="0" w:tplc="B1442A4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65B542F"/>
    <w:multiLevelType w:val="hybridMultilevel"/>
    <w:tmpl w:val="D0FCD1B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06"/>
    <w:rsid w:val="00004893"/>
    <w:rsid w:val="0005408D"/>
    <w:rsid w:val="00086A7A"/>
    <w:rsid w:val="000B39A8"/>
    <w:rsid w:val="000B4744"/>
    <w:rsid w:val="0028060F"/>
    <w:rsid w:val="002969CD"/>
    <w:rsid w:val="002D4742"/>
    <w:rsid w:val="002F6083"/>
    <w:rsid w:val="00303BF4"/>
    <w:rsid w:val="00304B61"/>
    <w:rsid w:val="0031234E"/>
    <w:rsid w:val="0033034F"/>
    <w:rsid w:val="00371460"/>
    <w:rsid w:val="003A79EC"/>
    <w:rsid w:val="003F2E2F"/>
    <w:rsid w:val="003F53E9"/>
    <w:rsid w:val="00432442"/>
    <w:rsid w:val="00494038"/>
    <w:rsid w:val="005039A3"/>
    <w:rsid w:val="00550C2C"/>
    <w:rsid w:val="00552507"/>
    <w:rsid w:val="005572A4"/>
    <w:rsid w:val="0058328E"/>
    <w:rsid w:val="00657898"/>
    <w:rsid w:val="006A1A40"/>
    <w:rsid w:val="006A5475"/>
    <w:rsid w:val="006B5949"/>
    <w:rsid w:val="006F29CD"/>
    <w:rsid w:val="00702B3F"/>
    <w:rsid w:val="0077592B"/>
    <w:rsid w:val="007C0CDF"/>
    <w:rsid w:val="00857941"/>
    <w:rsid w:val="008E268D"/>
    <w:rsid w:val="00952EE1"/>
    <w:rsid w:val="009936D7"/>
    <w:rsid w:val="009C5C05"/>
    <w:rsid w:val="009C79B3"/>
    <w:rsid w:val="00A20F17"/>
    <w:rsid w:val="00AA0EDE"/>
    <w:rsid w:val="00B03CF7"/>
    <w:rsid w:val="00BB3C06"/>
    <w:rsid w:val="00C03661"/>
    <w:rsid w:val="00C44D8E"/>
    <w:rsid w:val="00C810A2"/>
    <w:rsid w:val="00C81D76"/>
    <w:rsid w:val="00C84439"/>
    <w:rsid w:val="00CA696C"/>
    <w:rsid w:val="00D65789"/>
    <w:rsid w:val="00DB3693"/>
    <w:rsid w:val="00DD37C3"/>
    <w:rsid w:val="00E17031"/>
    <w:rsid w:val="00E42BFB"/>
    <w:rsid w:val="00E74184"/>
    <w:rsid w:val="00EF7C3C"/>
    <w:rsid w:val="00FC39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EFAE5-7B8A-42FB-B937-4A191892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widowControl w:val="0"/>
      <w:spacing w:after="0" w:line="240" w:lineRule="auto"/>
      <w:ind w:left="102"/>
      <w:outlineLvl w:val="1"/>
    </w:pPr>
    <w:rPr>
      <w:rFonts w:ascii="Arial" w:eastAsia="Arial" w:hAnsi="Arial" w:cs="Arial"/>
      <w:b/>
      <w:color w:val="00000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86A7A"/>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Prrafodelista">
    <w:name w:val="List Paragraph"/>
    <w:aliases w:val="Bullets,titulo 3,List Paragraph,Párrafo de lista1,Ha,List Paragraph1,lp1,Bullet List,FooterText,Use Case List Paragraph,numbered,Bulletr List Paragraph,Foot,列出段落,列出段落1,List Paragraph2,List Paragraph21,Parágrafo da Lista1,リスト段落1,Bolita"/>
    <w:basedOn w:val="Normal"/>
    <w:link w:val="PrrafodelistaCar"/>
    <w:uiPriority w:val="34"/>
    <w:qFormat/>
    <w:rsid w:val="007C0CDF"/>
    <w:pPr>
      <w:ind w:left="720"/>
      <w:contextualSpacing/>
    </w:pPr>
    <w:rPr>
      <w:rFonts w:asciiTheme="minorHAnsi" w:eastAsiaTheme="minorHAnsi" w:hAnsiTheme="minorHAnsi" w:cstheme="minorBidi"/>
      <w:lang w:val="es-CO" w:eastAsia="en-US"/>
    </w:rPr>
  </w:style>
  <w:style w:type="character" w:styleId="Textoennegrita">
    <w:name w:val="Strong"/>
    <w:basedOn w:val="Fuentedeprrafopredeter"/>
    <w:uiPriority w:val="22"/>
    <w:qFormat/>
    <w:rsid w:val="00DB3693"/>
    <w:rPr>
      <w:b/>
      <w:bCs/>
    </w:rPr>
  </w:style>
  <w:style w:type="paragraph" w:styleId="Textonotapie">
    <w:name w:val="footnote text"/>
    <w:basedOn w:val="Normal"/>
    <w:link w:val="TextonotapieCar"/>
    <w:uiPriority w:val="99"/>
    <w:semiHidden/>
    <w:unhideWhenUsed/>
    <w:rsid w:val="009C5C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5C05"/>
    <w:rPr>
      <w:sz w:val="20"/>
      <w:szCs w:val="20"/>
    </w:rPr>
  </w:style>
  <w:style w:type="character" w:styleId="Refdenotaalpie">
    <w:name w:val="footnote reference"/>
    <w:basedOn w:val="Fuentedeprrafopredeter"/>
    <w:uiPriority w:val="99"/>
    <w:semiHidden/>
    <w:unhideWhenUsed/>
    <w:rsid w:val="009C5C05"/>
    <w:rPr>
      <w:vertAlign w:val="superscript"/>
    </w:rPr>
  </w:style>
  <w:style w:type="paragraph" w:styleId="Sinespaciado">
    <w:name w:val="No Spacing"/>
    <w:link w:val="SinespaciadoCar"/>
    <w:uiPriority w:val="1"/>
    <w:qFormat/>
    <w:rsid w:val="006B5949"/>
    <w:pPr>
      <w:spacing w:after="0" w:line="240" w:lineRule="auto"/>
    </w:pPr>
    <w:rPr>
      <w:rFonts w:cs="Times New Roman"/>
      <w:lang w:val="es-MX" w:eastAsia="en-US"/>
    </w:rPr>
  </w:style>
  <w:style w:type="character" w:customStyle="1" w:styleId="SinespaciadoCar">
    <w:name w:val="Sin espaciado Car"/>
    <w:link w:val="Sinespaciado"/>
    <w:uiPriority w:val="1"/>
    <w:rsid w:val="006B5949"/>
    <w:rPr>
      <w:rFonts w:cs="Times New Roman"/>
      <w:lang w:val="es-MX" w:eastAsia="en-US"/>
    </w:rPr>
  </w:style>
  <w:style w:type="character" w:customStyle="1" w:styleId="PrrafodelistaCar">
    <w:name w:val="Párrafo de lista Car"/>
    <w:aliases w:val="Bullets Car,titulo 3 Car,List Paragraph Car,Párrafo de lista1 Car,Ha Car,List Paragraph1 Car,lp1 Car,Bullet List Car,FooterText Car,Use Case List Paragraph Car,numbered Car,Bulletr List Paragraph Car,Foot Car,列出段落 Car,列出段落1 Car"/>
    <w:link w:val="Prrafodelista"/>
    <w:uiPriority w:val="34"/>
    <w:rsid w:val="006B5949"/>
    <w:rPr>
      <w:rFonts w:asciiTheme="minorHAnsi" w:eastAsiaTheme="minorHAnsi" w:hAnsiTheme="minorHAnsi" w:cstheme="minorBidi"/>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441">
      <w:bodyDiv w:val="1"/>
      <w:marLeft w:val="0"/>
      <w:marRight w:val="0"/>
      <w:marTop w:val="0"/>
      <w:marBottom w:val="0"/>
      <w:divBdr>
        <w:top w:val="none" w:sz="0" w:space="0" w:color="auto"/>
        <w:left w:val="none" w:sz="0" w:space="0" w:color="auto"/>
        <w:bottom w:val="none" w:sz="0" w:space="0" w:color="auto"/>
        <w:right w:val="none" w:sz="0" w:space="0" w:color="auto"/>
      </w:divBdr>
    </w:div>
    <w:div w:id="1016230402">
      <w:bodyDiv w:val="1"/>
      <w:marLeft w:val="0"/>
      <w:marRight w:val="0"/>
      <w:marTop w:val="0"/>
      <w:marBottom w:val="0"/>
      <w:divBdr>
        <w:top w:val="none" w:sz="0" w:space="0" w:color="auto"/>
        <w:left w:val="none" w:sz="0" w:space="0" w:color="auto"/>
        <w:bottom w:val="none" w:sz="0" w:space="0" w:color="auto"/>
        <w:right w:val="none" w:sz="0" w:space="0" w:color="auto"/>
      </w:divBdr>
    </w:div>
    <w:div w:id="113371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AE86-9E63-4B6E-9998-F03F12A6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10035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rotavista</dc:creator>
  <cp:lastModifiedBy>erika rotavista</cp:lastModifiedBy>
  <cp:revision>2</cp:revision>
  <cp:lastPrinted>2021-08-19T17:44:00Z</cp:lastPrinted>
  <dcterms:created xsi:type="dcterms:W3CDTF">2021-08-19T17:44:00Z</dcterms:created>
  <dcterms:modified xsi:type="dcterms:W3CDTF">2021-08-19T17:44:00Z</dcterms:modified>
</cp:coreProperties>
</file>